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EF2D44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44"/>
        <w:gridCol w:w="1843"/>
        <w:gridCol w:w="4196"/>
      </w:tblGrid>
      <w:tr w:rsidR="00B04214" w:rsidTr="00967BB3">
        <w:trPr>
          <w:trHeight w:val="165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F652EC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F652EC">
              <w:rPr>
                <w:rFonts w:cs="Titr" w:hint="cs"/>
                <w:b/>
                <w:bCs/>
                <w:rtl/>
                <w:lang w:bidi="fa-IR"/>
              </w:rPr>
              <w:t>13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</w:t>
            </w:r>
            <w:r w:rsidR="00F652EC">
              <w:rPr>
                <w:rFonts w:cs="Titr" w:hint="cs"/>
                <w:b/>
                <w:bCs/>
                <w:rtl/>
                <w:lang w:bidi="fa-IR"/>
              </w:rPr>
              <w:t>10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/95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0E60B9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EF2D44" w:rsidRPr="00EF2D44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0E60B9">
              <w:rPr>
                <w:rFonts w:cs="Titr" w:hint="cs"/>
                <w:b/>
                <w:bCs/>
                <w:rtl/>
                <w:lang w:bidi="fa-IR"/>
              </w:rPr>
              <w:t>شورای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>گسترش آموزشي</w:t>
            </w:r>
          </w:p>
        </w:tc>
      </w:tr>
      <w:tr w:rsidR="00B04214" w:rsidTr="00967BB3">
        <w:trPr>
          <w:trHeight w:val="120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F652EC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1</w:t>
            </w:r>
            <w:r w:rsidR="00F652EC">
              <w:rPr>
                <w:rFonts w:cs="Titr" w:hint="cs"/>
                <w:b/>
                <w:bCs/>
                <w:rtl/>
                <w:lang w:bidi="fa-IR"/>
              </w:rPr>
              <w:t>6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:</w:t>
            </w:r>
            <w:r w:rsidR="00F652EC">
              <w:rPr>
                <w:rFonts w:cs="Titr" w:hint="cs"/>
                <w:b/>
                <w:bCs/>
                <w:rtl/>
                <w:lang w:bidi="fa-IR"/>
              </w:rPr>
              <w:t>3</w:t>
            </w:r>
            <w:r w:rsidR="000E60B9">
              <w:rPr>
                <w:rFonts w:cs="Titr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F652EC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F652EC">
              <w:rPr>
                <w:rFonts w:cs="Titr" w:hint="cs"/>
                <w:b/>
                <w:bCs/>
                <w:rtl/>
                <w:lang w:bidi="fa-IR"/>
              </w:rPr>
              <w:t>14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BB4A70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535C02" w:rsidRPr="001005FA" w:rsidRDefault="001005FA" w:rsidP="004F458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بررسي درخواست تمديد قرارداد مراكز استيجاري ادارات كل آموزش فني و حرفه اي استان هاي ايلام، قزوين، كردستان</w:t>
            </w:r>
            <w:r>
              <w:rPr>
                <w:rFonts w:ascii="2  Mashhad" w:hAnsi="2  Mashhad" w:cs="B Nazanin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خراسان شمالي </w:t>
            </w:r>
            <w:r>
              <w:rPr>
                <w:rFonts w:ascii="2  Mashhad" w:hAnsi="2  Mashhad" w:cs="B Nazanin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F2105">
              <w:rPr>
                <w:rFonts w:cs="B Nazanin" w:hint="cs"/>
                <w:b/>
                <w:bCs/>
                <w:rtl/>
                <w:lang w:bidi="fa-IR"/>
              </w:rPr>
              <w:t>گلستان ،</w:t>
            </w:r>
            <w:r w:rsidR="00A35B3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همدان و اصفهان 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BB4A70" w:rsidRDefault="00666575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0069" w:type="dxa"/>
          </w:tcPr>
          <w:p w:rsidR="00666575" w:rsidRPr="007F4791" w:rsidRDefault="007F4791" w:rsidP="00973B5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بررسي راه اندازي، تجهيز و استانداردسازي كارگاه هاي حرفه آموزي تفاهمنامه با ستاد مبارزه با مواد مخدر در ادارات كل آموزش فني و حرفه اي استان هاي فارس، آذربايجان شرقي </w:t>
            </w:r>
            <w:r w:rsidR="00973B5D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كردستان</w:t>
            </w:r>
            <w:r w:rsidR="00973B5D">
              <w:rPr>
                <w:rFonts w:cs="B Nazanin" w:hint="cs"/>
                <w:b/>
                <w:bCs/>
                <w:rtl/>
                <w:lang w:bidi="fa-IR"/>
              </w:rPr>
              <w:t xml:space="preserve"> و تهران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417"/>
        <w:gridCol w:w="2693"/>
        <w:gridCol w:w="959"/>
      </w:tblGrid>
      <w:tr w:rsidR="00B04214" w:rsidTr="00893FCC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Hlk466986337"/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17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228BF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عنوان مصوبه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اقدام کننده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مدت مقرر</w:t>
            </w:r>
          </w:p>
        </w:tc>
      </w:tr>
      <w:bookmarkEnd w:id="0"/>
      <w:tr w:rsidR="00B04214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17" w:type="dxa"/>
            <w:vAlign w:val="center"/>
          </w:tcPr>
          <w:p w:rsidR="00B04214" w:rsidRPr="00E868E8" w:rsidRDefault="00A15AAD" w:rsidP="0016534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مقرر گرديد </w:t>
            </w:r>
            <w:r w:rsidR="00532BA4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اجاره روستای هفت چشمه تا پایان سال 95 تمدید گردد و در سال آینده مکان مورد نیاز جهت ارائه آموزش توسط مسئولان محلی تامین گردد. </w:t>
            </w:r>
            <w:r w:rsidR="00E9011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همچنین در خصوص مرکز سرابله نیز قرارداد اجاره مرکز تا پایان سال تمدید می گردد و اداره کل 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 فني و حرفه اي استان مي بايست </w:t>
            </w:r>
            <w:r w:rsidR="00E9011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49242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پایان </w:t>
            </w:r>
            <w:r w:rsidR="00E9011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بهمن ماه سال جاری نسبت به </w:t>
            </w:r>
            <w:r w:rsidR="0049242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معرفی حرفه های جایگزین 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براي </w:t>
            </w:r>
            <w:r w:rsidR="0049242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حرف موازی با بخش خصوصی </w:t>
            </w:r>
            <w:r w:rsidR="00C2480E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شورای گسترش </w:t>
            </w:r>
            <w:r w:rsidR="00F36DC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سازمان </w:t>
            </w:r>
            <w:r w:rsidR="00E9011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اقدام ن</w:t>
            </w:r>
            <w:r w:rsidR="00C2480E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ماید.</w:t>
            </w:r>
          </w:p>
        </w:tc>
        <w:tc>
          <w:tcPr>
            <w:tcW w:w="2693" w:type="dxa"/>
            <w:vAlign w:val="center"/>
          </w:tcPr>
          <w:p w:rsidR="001C3AE8" w:rsidRPr="00E868E8" w:rsidRDefault="00893FCC" w:rsidP="00724B1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OLE_LINK45"/>
            <w:bookmarkStart w:id="2" w:name="OLE_LINK46"/>
            <w:bookmarkStart w:id="3" w:name="OLE_LINK49"/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اداره كل آموزش فني و حرفه اي استان </w:t>
            </w:r>
            <w:bookmarkEnd w:id="1"/>
            <w:bookmarkEnd w:id="2"/>
            <w:bookmarkEnd w:id="3"/>
            <w:r w:rsidR="00724B1A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ایلام</w:t>
            </w:r>
            <w:bookmarkStart w:id="4" w:name="OLE_LINK1"/>
            <w:bookmarkStart w:id="5" w:name="OLE_LINK2"/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  <w:bookmarkEnd w:id="4"/>
            <w:bookmarkEnd w:id="5"/>
          </w:p>
        </w:tc>
        <w:tc>
          <w:tcPr>
            <w:tcW w:w="959" w:type="dxa"/>
            <w:vAlign w:val="center"/>
          </w:tcPr>
          <w:p w:rsidR="00B04214" w:rsidRPr="00E868E8" w:rsidRDefault="00893FCC" w:rsidP="009228B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6" w:name="OLE_LINK41"/>
            <w:bookmarkStart w:id="7" w:name="OLE_LINK44"/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  <w:bookmarkEnd w:id="6"/>
            <w:bookmarkEnd w:id="7"/>
          </w:p>
        </w:tc>
      </w:tr>
      <w:tr w:rsidR="00893FCC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893FCC" w:rsidRDefault="00893FC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17" w:type="dxa"/>
            <w:vAlign w:val="center"/>
          </w:tcPr>
          <w:p w:rsidR="00893FCC" w:rsidRPr="00E868E8" w:rsidRDefault="00044FE5" w:rsidP="00E400E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درخصوص</w:t>
            </w:r>
            <w:r w:rsidR="0085180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تمدید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قرارداد 4 ماه مرکز خواهران استان قزوین </w:t>
            </w:r>
            <w:r w:rsidR="00B34EFF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موافقت بعمل آمد</w:t>
            </w:r>
          </w:p>
        </w:tc>
        <w:tc>
          <w:tcPr>
            <w:tcW w:w="2693" w:type="dxa"/>
            <w:vAlign w:val="center"/>
          </w:tcPr>
          <w:p w:rsidR="00893FCC" w:rsidRPr="00E868E8" w:rsidRDefault="00B34EFF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</w:t>
            </w:r>
            <w:r w:rsidR="001F2AC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قزوین</w:t>
            </w:r>
            <w:bookmarkStart w:id="8" w:name="OLE_LINK3"/>
            <w:bookmarkStart w:id="9" w:name="OLE_LINK4"/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  <w:r w:rsidR="001F2AC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bookmarkEnd w:id="8"/>
            <w:bookmarkEnd w:id="9"/>
          </w:p>
        </w:tc>
        <w:tc>
          <w:tcPr>
            <w:tcW w:w="959" w:type="dxa"/>
            <w:vAlign w:val="center"/>
          </w:tcPr>
          <w:p w:rsidR="00893FCC" w:rsidRPr="00E868E8" w:rsidRDefault="00F5335D" w:rsidP="00893FCC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1F2AC9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1F2AC9" w:rsidRDefault="001F2AC9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17" w:type="dxa"/>
            <w:vAlign w:val="center"/>
          </w:tcPr>
          <w:p w:rsidR="001F2AC9" w:rsidRPr="00E868E8" w:rsidRDefault="001F2AC9" w:rsidP="0016534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راه اندازی، تجهیز و استانداردسازی کارگاههای مرتبط با تفاهمنامه ستاد مبارزه با مواد مخدر در 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استانهای فارس، کردستان، تهران و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آذربا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یجان شرقی مورد موافقت قرار گرفته و مقرر گرديد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صورت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اجرای 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حرفه هاي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موازی با بخش خصوصی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اولویت اجرای دو</w:t>
            </w:r>
            <w:r w:rsidR="0016534C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ره ها ی مذکور با بخش خصوصی باشد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693" w:type="dxa"/>
            <w:vAlign w:val="center"/>
          </w:tcPr>
          <w:p w:rsidR="001F2AC9" w:rsidRPr="00E868E8" w:rsidRDefault="001F2AC9" w:rsidP="009B58D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</w:t>
            </w:r>
            <w:r w:rsidR="00193E02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فارس، تهران، آذربایجان شرقی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کردستان</w:t>
            </w:r>
            <w:r w:rsidR="00193E02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راهبري اجراي آموزش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:rsidR="001F2AC9" w:rsidRPr="00E868E8" w:rsidRDefault="001F2AC9" w:rsidP="000E2A4D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576609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576609" w:rsidRDefault="00576609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17" w:type="dxa"/>
            <w:vAlign w:val="center"/>
          </w:tcPr>
          <w:p w:rsidR="00576609" w:rsidRPr="00E868E8" w:rsidRDefault="0016534C" w:rsidP="0016534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تمديد 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</w:t>
            </w:r>
            <w:r w:rsidR="0055089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اجاره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مرکز خواهران کامیاران استان کردستان تا پا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یان سال 95 مورد تأييد قرار گرفت. همچنين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تمديد 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</w:t>
            </w:r>
            <w:r w:rsidR="007B1166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اجاره 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مراکز اوقافی استان کردستان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95 مورد موافقت شد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تمديد 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</w:t>
            </w:r>
            <w:r w:rsidR="0055089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اجاره 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خواهران سنندج تا پایان آ</w:t>
            </w:r>
            <w:r w:rsidR="0055089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بان ماه 95 مورد تائید قرار گرفت</w:t>
            </w:r>
            <w:r w:rsidR="0057660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576609" w:rsidRPr="00E868E8" w:rsidRDefault="00576609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 کردستان</w:t>
            </w:r>
            <w:r w:rsidR="00193E02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</w:p>
        </w:tc>
        <w:tc>
          <w:tcPr>
            <w:tcW w:w="959" w:type="dxa"/>
            <w:vAlign w:val="center"/>
          </w:tcPr>
          <w:p w:rsidR="00576609" w:rsidRPr="00E868E8" w:rsidRDefault="00576609" w:rsidP="000E2A4D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576609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576609" w:rsidRDefault="00576609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17" w:type="dxa"/>
            <w:vAlign w:val="center"/>
          </w:tcPr>
          <w:p w:rsidR="00576609" w:rsidRPr="00E868E8" w:rsidRDefault="00576609" w:rsidP="00550899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اجاره مرکز راز و جرگلان استان خراسان شمالی تا پایان سال 95 مورد تمدید قرار گرفت و از سال آینده می بایست مکان آموزش توسط مسئولان محلی تامین </w:t>
            </w:r>
            <w:r w:rsidR="00550899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شرط عدم موازی بودن حرف آموزشی مرکز با بخش خصوصی نیز در برنامه ریزی آموزشی مد نظر قرار گیرد.</w:t>
            </w:r>
          </w:p>
        </w:tc>
        <w:tc>
          <w:tcPr>
            <w:tcW w:w="2693" w:type="dxa"/>
            <w:vAlign w:val="center"/>
          </w:tcPr>
          <w:p w:rsidR="00576609" w:rsidRPr="00E868E8" w:rsidRDefault="00576609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</w:t>
            </w:r>
            <w:r w:rsidR="00E3497A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خراسان شمالی</w:t>
            </w:r>
            <w:bookmarkStart w:id="10" w:name="OLE_LINK5"/>
            <w:r w:rsidR="00193E02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  <w:bookmarkEnd w:id="10"/>
          </w:p>
        </w:tc>
        <w:tc>
          <w:tcPr>
            <w:tcW w:w="959" w:type="dxa"/>
            <w:vAlign w:val="center"/>
          </w:tcPr>
          <w:p w:rsidR="00576609" w:rsidRPr="00E868E8" w:rsidRDefault="00576609" w:rsidP="000E2A4D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7B113E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7B113E" w:rsidRDefault="00BF5F71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417" w:type="dxa"/>
            <w:vAlign w:val="center"/>
          </w:tcPr>
          <w:p w:rsidR="007B113E" w:rsidRPr="00E868E8" w:rsidRDefault="007B113E" w:rsidP="007B1166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قرارداد اجاره مراکز اوقافی استان همدان مورد موافقت قرار گرفت . تصمیم گیری درخصوص تمدید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قرارداد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اجاره مرکز فامنین نیازمند بررسی مجدد توسط شورا می باشد. </w:t>
            </w:r>
          </w:p>
        </w:tc>
        <w:tc>
          <w:tcPr>
            <w:tcW w:w="2693" w:type="dxa"/>
            <w:vAlign w:val="center"/>
          </w:tcPr>
          <w:p w:rsidR="007B113E" w:rsidRPr="00E868E8" w:rsidRDefault="007B113E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اداره كل آموزش فني و حرفه اي استان همدان 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</w:p>
        </w:tc>
        <w:tc>
          <w:tcPr>
            <w:tcW w:w="959" w:type="dxa"/>
            <w:vAlign w:val="center"/>
          </w:tcPr>
          <w:p w:rsidR="007B113E" w:rsidRPr="00E868E8" w:rsidRDefault="007B113E" w:rsidP="000E2A4D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7B113E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7B113E" w:rsidRDefault="00BF5F71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417" w:type="dxa"/>
            <w:vAlign w:val="center"/>
          </w:tcPr>
          <w:p w:rsidR="007B113E" w:rsidRPr="00E868E8" w:rsidRDefault="00740817" w:rsidP="000262E3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اجاره مرکز خواهران زرین شهر </w:t>
            </w:r>
            <w:r w:rsidR="00477A32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تیم سیار باغبهادران </w:t>
            </w:r>
            <w:r w:rsidR="00901474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 پایان سال مورد </w:t>
            </w:r>
            <w:r w:rsidR="00676D84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تایید</w:t>
            </w:r>
            <w:r w:rsidR="00901474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گرفت </w:t>
            </w:r>
            <w:r w:rsidR="007E7F8A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مقرر گردید 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درخصوص تیم سیار باغبهادران</w:t>
            </w:r>
            <w:r w:rsidR="001343CE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مکان آموزشی در سال آتی توسط مسئولان محلی تامین گردد</w:t>
            </w:r>
            <w:r w:rsidR="00BF5F71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693" w:type="dxa"/>
            <w:vAlign w:val="center"/>
          </w:tcPr>
          <w:p w:rsidR="007B113E" w:rsidRPr="00E868E8" w:rsidRDefault="007B113E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 اصفهان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</w:p>
        </w:tc>
        <w:tc>
          <w:tcPr>
            <w:tcW w:w="959" w:type="dxa"/>
            <w:vAlign w:val="center"/>
          </w:tcPr>
          <w:p w:rsidR="007B113E" w:rsidRPr="00E868E8" w:rsidRDefault="007B113E" w:rsidP="000E2A4D">
            <w:pPr>
              <w:jc w:val="center"/>
              <w:rPr>
                <w:sz w:val="18"/>
                <w:szCs w:val="18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  <w:tr w:rsidR="00BF5F71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F5F71" w:rsidRDefault="00BF5F71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417" w:type="dxa"/>
            <w:vAlign w:val="center"/>
          </w:tcPr>
          <w:p w:rsidR="00BF5F71" w:rsidRPr="00E868E8" w:rsidRDefault="00524602" w:rsidP="00E868E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اجاره مراکز گالیکش، رامیان و گمیشان استان گلستان تا پایان سال مورد تمدید قرار گرفت و 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مقرر گرديد 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مکان آموزشی در سال 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آينده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توسط مسئولان 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محلي</w:t>
            </w: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تامین گردد.</w:t>
            </w:r>
          </w:p>
        </w:tc>
        <w:tc>
          <w:tcPr>
            <w:tcW w:w="2693" w:type="dxa"/>
            <w:vAlign w:val="center"/>
          </w:tcPr>
          <w:p w:rsidR="00BF5F71" w:rsidRPr="00E868E8" w:rsidRDefault="00B07270" w:rsidP="001C3AE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اداره كل آموزش فني و حرفه اي استان گلستان</w:t>
            </w:r>
            <w:r w:rsidR="00E868E8"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دفتر برنامه ريزي، نوسازي و توسعه فناوري اطلاعات</w:t>
            </w:r>
          </w:p>
        </w:tc>
        <w:tc>
          <w:tcPr>
            <w:tcW w:w="959" w:type="dxa"/>
            <w:vAlign w:val="center"/>
          </w:tcPr>
          <w:p w:rsidR="00BF5F71" w:rsidRPr="00E868E8" w:rsidRDefault="006A47CC" w:rsidP="000E2A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868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پايان سال 1395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774452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1" w:name="_Hlk466986702"/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موسوي</w:t>
            </w:r>
            <w:r w:rsidR="00E47D6A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طاهرپور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 xml:space="preserve">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F2D44" w:rsidTr="00D15A6B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2" w:name="_Hlk466986495"/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F2D44" w:rsidRDefault="00A55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چوبینه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F2D44" w:rsidRDefault="00EF2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F2D44" w:rsidRPr="008A4014" w:rsidRDefault="00A55C74" w:rsidP="00A55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عرفان منش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bookmarkStart w:id="13" w:name="OLE_LINK42"/>
            <w:bookmarkStart w:id="14" w:name="OLE_LINK43"/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  <w:bookmarkEnd w:id="13"/>
            <w:bookmarkEnd w:id="14"/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:rsidR="00EF2D44" w:rsidRPr="008A4014" w:rsidRDefault="00D32662" w:rsidP="00D326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عزيزي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bookmarkEnd w:id="11"/>
      <w:bookmarkEnd w:id="12"/>
      <w:tr w:rsidR="0059732D" w:rsidTr="00D15A6B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باجولوند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59732D" w:rsidRDefault="00D32662" w:rsidP="00A55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آقاي </w:t>
            </w:r>
            <w:r w:rsidR="00A55C74">
              <w:rPr>
                <w:rFonts w:cs="B Nazanin" w:hint="cs"/>
                <w:b/>
                <w:bCs/>
                <w:rtl/>
                <w:lang w:bidi="fa-IR"/>
              </w:rPr>
              <w:t>علیزاده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9732D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قاسمي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tr w:rsidR="00A55C74" w:rsidTr="00A55C74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55C74" w:rsidRDefault="00A55C7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A55C74" w:rsidRDefault="00A55C7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رضائي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A55C74" w:rsidRDefault="00A55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93" w:type="dxa"/>
            <w:vAlign w:val="center"/>
          </w:tcPr>
          <w:p w:rsidR="00A55C74" w:rsidRDefault="00A55C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معظمی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5C74" w:rsidRDefault="00A55C74">
            <w:pPr>
              <w:jc w:val="center"/>
            </w:pPr>
          </w:p>
        </w:tc>
      </w:tr>
    </w:tbl>
    <w:p w:rsidR="00E244EF" w:rsidRDefault="00E244EF" w:rsidP="00584E4C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sectPr w:rsid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shh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B12B6"/>
    <w:multiLevelType w:val="hybridMultilevel"/>
    <w:tmpl w:val="83D2B652"/>
    <w:lvl w:ilvl="0" w:tplc="36D6F6C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2E3"/>
    <w:rsid w:val="00026D66"/>
    <w:rsid w:val="00033E13"/>
    <w:rsid w:val="0003681E"/>
    <w:rsid w:val="000430EF"/>
    <w:rsid w:val="00043F9F"/>
    <w:rsid w:val="00044FE5"/>
    <w:rsid w:val="00051A8C"/>
    <w:rsid w:val="00051C5F"/>
    <w:rsid w:val="00053993"/>
    <w:rsid w:val="00056115"/>
    <w:rsid w:val="00056DE0"/>
    <w:rsid w:val="00062897"/>
    <w:rsid w:val="000646E2"/>
    <w:rsid w:val="00064A98"/>
    <w:rsid w:val="00071D9A"/>
    <w:rsid w:val="00082351"/>
    <w:rsid w:val="0008285F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254F"/>
    <w:rsid w:val="000B6187"/>
    <w:rsid w:val="000C10CF"/>
    <w:rsid w:val="000C3ED8"/>
    <w:rsid w:val="000C52C3"/>
    <w:rsid w:val="000E064C"/>
    <w:rsid w:val="000E5882"/>
    <w:rsid w:val="000E60B9"/>
    <w:rsid w:val="000F30EB"/>
    <w:rsid w:val="000F67DD"/>
    <w:rsid w:val="001005FA"/>
    <w:rsid w:val="00104D68"/>
    <w:rsid w:val="0010598F"/>
    <w:rsid w:val="00106DD9"/>
    <w:rsid w:val="001106D0"/>
    <w:rsid w:val="00111562"/>
    <w:rsid w:val="0011597E"/>
    <w:rsid w:val="00121FB1"/>
    <w:rsid w:val="00126FCE"/>
    <w:rsid w:val="00131D9C"/>
    <w:rsid w:val="00133A4C"/>
    <w:rsid w:val="001343CE"/>
    <w:rsid w:val="0014099E"/>
    <w:rsid w:val="00141873"/>
    <w:rsid w:val="001452CB"/>
    <w:rsid w:val="0015170E"/>
    <w:rsid w:val="001517E4"/>
    <w:rsid w:val="001568C0"/>
    <w:rsid w:val="0016534C"/>
    <w:rsid w:val="00167EED"/>
    <w:rsid w:val="00171DE1"/>
    <w:rsid w:val="001837AE"/>
    <w:rsid w:val="001906BD"/>
    <w:rsid w:val="00193AF2"/>
    <w:rsid w:val="00193E02"/>
    <w:rsid w:val="001A3376"/>
    <w:rsid w:val="001B10FE"/>
    <w:rsid w:val="001B1142"/>
    <w:rsid w:val="001B15E6"/>
    <w:rsid w:val="001B221E"/>
    <w:rsid w:val="001B3387"/>
    <w:rsid w:val="001B3FA6"/>
    <w:rsid w:val="001C01C8"/>
    <w:rsid w:val="001C3AE8"/>
    <w:rsid w:val="001C4031"/>
    <w:rsid w:val="001C554E"/>
    <w:rsid w:val="001C6337"/>
    <w:rsid w:val="001D211D"/>
    <w:rsid w:val="001D2D52"/>
    <w:rsid w:val="001E69CA"/>
    <w:rsid w:val="001F1D3B"/>
    <w:rsid w:val="001F1F70"/>
    <w:rsid w:val="001F2AC9"/>
    <w:rsid w:val="001F42F0"/>
    <w:rsid w:val="0020047C"/>
    <w:rsid w:val="00202271"/>
    <w:rsid w:val="00204B50"/>
    <w:rsid w:val="00212207"/>
    <w:rsid w:val="0022246A"/>
    <w:rsid w:val="00222881"/>
    <w:rsid w:val="002238D1"/>
    <w:rsid w:val="00234A8A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132"/>
    <w:rsid w:val="00315649"/>
    <w:rsid w:val="00316AA2"/>
    <w:rsid w:val="00317839"/>
    <w:rsid w:val="00320430"/>
    <w:rsid w:val="00323D8C"/>
    <w:rsid w:val="00323F9B"/>
    <w:rsid w:val="00325E23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5B9"/>
    <w:rsid w:val="00387771"/>
    <w:rsid w:val="00387897"/>
    <w:rsid w:val="00387A17"/>
    <w:rsid w:val="00392FB0"/>
    <w:rsid w:val="0039508C"/>
    <w:rsid w:val="00395DEA"/>
    <w:rsid w:val="00396D7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27A6"/>
    <w:rsid w:val="00455DC6"/>
    <w:rsid w:val="0045647D"/>
    <w:rsid w:val="004637E2"/>
    <w:rsid w:val="00466FED"/>
    <w:rsid w:val="004740F1"/>
    <w:rsid w:val="00477A32"/>
    <w:rsid w:val="00481B77"/>
    <w:rsid w:val="00483845"/>
    <w:rsid w:val="00487C5F"/>
    <w:rsid w:val="00492429"/>
    <w:rsid w:val="00493A56"/>
    <w:rsid w:val="00493F8A"/>
    <w:rsid w:val="00495484"/>
    <w:rsid w:val="004D03D4"/>
    <w:rsid w:val="004D25F0"/>
    <w:rsid w:val="004D524F"/>
    <w:rsid w:val="004D71EC"/>
    <w:rsid w:val="004D786F"/>
    <w:rsid w:val="004E156C"/>
    <w:rsid w:val="004E3484"/>
    <w:rsid w:val="004E4539"/>
    <w:rsid w:val="004F11F1"/>
    <w:rsid w:val="004F31AA"/>
    <w:rsid w:val="004F3D7F"/>
    <w:rsid w:val="004F4589"/>
    <w:rsid w:val="0050241A"/>
    <w:rsid w:val="00505835"/>
    <w:rsid w:val="005071C6"/>
    <w:rsid w:val="005217EC"/>
    <w:rsid w:val="00521E0E"/>
    <w:rsid w:val="00522916"/>
    <w:rsid w:val="00524602"/>
    <w:rsid w:val="005268CC"/>
    <w:rsid w:val="00530481"/>
    <w:rsid w:val="00530A4E"/>
    <w:rsid w:val="00532BA4"/>
    <w:rsid w:val="00535C02"/>
    <w:rsid w:val="00535D59"/>
    <w:rsid w:val="005406E6"/>
    <w:rsid w:val="00544C89"/>
    <w:rsid w:val="00550899"/>
    <w:rsid w:val="00551D16"/>
    <w:rsid w:val="00552CF5"/>
    <w:rsid w:val="00560A55"/>
    <w:rsid w:val="0056102F"/>
    <w:rsid w:val="005615C8"/>
    <w:rsid w:val="00562170"/>
    <w:rsid w:val="00574220"/>
    <w:rsid w:val="005754E4"/>
    <w:rsid w:val="00576609"/>
    <w:rsid w:val="00583695"/>
    <w:rsid w:val="00584E4C"/>
    <w:rsid w:val="00585BF2"/>
    <w:rsid w:val="00587322"/>
    <w:rsid w:val="00587B55"/>
    <w:rsid w:val="005908F7"/>
    <w:rsid w:val="00591474"/>
    <w:rsid w:val="00594532"/>
    <w:rsid w:val="00595D6A"/>
    <w:rsid w:val="0059732D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C3954"/>
    <w:rsid w:val="005C4961"/>
    <w:rsid w:val="005C4B16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15EAE"/>
    <w:rsid w:val="006206E6"/>
    <w:rsid w:val="00627A17"/>
    <w:rsid w:val="00637EE9"/>
    <w:rsid w:val="006467AA"/>
    <w:rsid w:val="0065098F"/>
    <w:rsid w:val="006512DB"/>
    <w:rsid w:val="00657839"/>
    <w:rsid w:val="00660505"/>
    <w:rsid w:val="00661151"/>
    <w:rsid w:val="006649EA"/>
    <w:rsid w:val="00664AF8"/>
    <w:rsid w:val="00666575"/>
    <w:rsid w:val="00666813"/>
    <w:rsid w:val="00673071"/>
    <w:rsid w:val="00676D84"/>
    <w:rsid w:val="006810D1"/>
    <w:rsid w:val="006817EC"/>
    <w:rsid w:val="00684900"/>
    <w:rsid w:val="006916CC"/>
    <w:rsid w:val="00694B30"/>
    <w:rsid w:val="006A0EFC"/>
    <w:rsid w:val="006A2871"/>
    <w:rsid w:val="006A47CC"/>
    <w:rsid w:val="006B0878"/>
    <w:rsid w:val="006B2E88"/>
    <w:rsid w:val="006B6732"/>
    <w:rsid w:val="006C0A27"/>
    <w:rsid w:val="006C0EFF"/>
    <w:rsid w:val="006C3329"/>
    <w:rsid w:val="006C7E42"/>
    <w:rsid w:val="006D1EF2"/>
    <w:rsid w:val="006D3DAE"/>
    <w:rsid w:val="006D63D9"/>
    <w:rsid w:val="006E102C"/>
    <w:rsid w:val="006E1767"/>
    <w:rsid w:val="006E378E"/>
    <w:rsid w:val="006F51AD"/>
    <w:rsid w:val="00702078"/>
    <w:rsid w:val="007058AD"/>
    <w:rsid w:val="00705CFE"/>
    <w:rsid w:val="0071043C"/>
    <w:rsid w:val="00714E9E"/>
    <w:rsid w:val="00716511"/>
    <w:rsid w:val="00724B1A"/>
    <w:rsid w:val="00724BF0"/>
    <w:rsid w:val="007275BC"/>
    <w:rsid w:val="00740817"/>
    <w:rsid w:val="007433CB"/>
    <w:rsid w:val="0074525B"/>
    <w:rsid w:val="00745EC2"/>
    <w:rsid w:val="007547FC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1DA3"/>
    <w:rsid w:val="007928F0"/>
    <w:rsid w:val="007947A1"/>
    <w:rsid w:val="007A066E"/>
    <w:rsid w:val="007A748D"/>
    <w:rsid w:val="007B113E"/>
    <w:rsid w:val="007B1166"/>
    <w:rsid w:val="007B3055"/>
    <w:rsid w:val="007C6365"/>
    <w:rsid w:val="007C6451"/>
    <w:rsid w:val="007D02E1"/>
    <w:rsid w:val="007D036B"/>
    <w:rsid w:val="007E19A1"/>
    <w:rsid w:val="007E1CE8"/>
    <w:rsid w:val="007E2E72"/>
    <w:rsid w:val="007E7504"/>
    <w:rsid w:val="007E7F8A"/>
    <w:rsid w:val="007F2105"/>
    <w:rsid w:val="007F4791"/>
    <w:rsid w:val="007F7120"/>
    <w:rsid w:val="00806F01"/>
    <w:rsid w:val="00807FF5"/>
    <w:rsid w:val="008129AE"/>
    <w:rsid w:val="00813DE4"/>
    <w:rsid w:val="00814A12"/>
    <w:rsid w:val="00816D3E"/>
    <w:rsid w:val="00821D56"/>
    <w:rsid w:val="008239B3"/>
    <w:rsid w:val="008328D9"/>
    <w:rsid w:val="00835F61"/>
    <w:rsid w:val="00837B66"/>
    <w:rsid w:val="00837F6E"/>
    <w:rsid w:val="00842220"/>
    <w:rsid w:val="00847D7A"/>
    <w:rsid w:val="00851808"/>
    <w:rsid w:val="00852806"/>
    <w:rsid w:val="00856EC7"/>
    <w:rsid w:val="008579E3"/>
    <w:rsid w:val="00872AEC"/>
    <w:rsid w:val="0087659A"/>
    <w:rsid w:val="00877AFB"/>
    <w:rsid w:val="00880838"/>
    <w:rsid w:val="00886392"/>
    <w:rsid w:val="00893719"/>
    <w:rsid w:val="00893BEA"/>
    <w:rsid w:val="00893FCC"/>
    <w:rsid w:val="0089518F"/>
    <w:rsid w:val="00897DD2"/>
    <w:rsid w:val="008A0F69"/>
    <w:rsid w:val="008A4014"/>
    <w:rsid w:val="008B0505"/>
    <w:rsid w:val="008B3DC0"/>
    <w:rsid w:val="008B63EC"/>
    <w:rsid w:val="008B6C3D"/>
    <w:rsid w:val="008C2417"/>
    <w:rsid w:val="008C451A"/>
    <w:rsid w:val="008C6233"/>
    <w:rsid w:val="008D1D80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01474"/>
    <w:rsid w:val="00906855"/>
    <w:rsid w:val="00915D45"/>
    <w:rsid w:val="00916938"/>
    <w:rsid w:val="00921BCF"/>
    <w:rsid w:val="009228BF"/>
    <w:rsid w:val="00923D19"/>
    <w:rsid w:val="0092451D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67BB3"/>
    <w:rsid w:val="009715D5"/>
    <w:rsid w:val="00973833"/>
    <w:rsid w:val="00973B5D"/>
    <w:rsid w:val="0097551D"/>
    <w:rsid w:val="00991648"/>
    <w:rsid w:val="00995C34"/>
    <w:rsid w:val="00996197"/>
    <w:rsid w:val="009A14F5"/>
    <w:rsid w:val="009B0135"/>
    <w:rsid w:val="009B14C0"/>
    <w:rsid w:val="009B2255"/>
    <w:rsid w:val="009B3075"/>
    <w:rsid w:val="009B58D8"/>
    <w:rsid w:val="009C4057"/>
    <w:rsid w:val="009C4AF9"/>
    <w:rsid w:val="009C5515"/>
    <w:rsid w:val="009C6813"/>
    <w:rsid w:val="009C7EC8"/>
    <w:rsid w:val="009D1A76"/>
    <w:rsid w:val="009D31F0"/>
    <w:rsid w:val="009E0D58"/>
    <w:rsid w:val="009E5292"/>
    <w:rsid w:val="009E6B66"/>
    <w:rsid w:val="009E6D6A"/>
    <w:rsid w:val="009E73D3"/>
    <w:rsid w:val="009E740B"/>
    <w:rsid w:val="009E7650"/>
    <w:rsid w:val="009F1908"/>
    <w:rsid w:val="00A0302D"/>
    <w:rsid w:val="00A04C27"/>
    <w:rsid w:val="00A10C11"/>
    <w:rsid w:val="00A1380D"/>
    <w:rsid w:val="00A13E2C"/>
    <w:rsid w:val="00A15AAD"/>
    <w:rsid w:val="00A16F14"/>
    <w:rsid w:val="00A170BF"/>
    <w:rsid w:val="00A20DEF"/>
    <w:rsid w:val="00A25701"/>
    <w:rsid w:val="00A31F7A"/>
    <w:rsid w:val="00A33FE0"/>
    <w:rsid w:val="00A34A94"/>
    <w:rsid w:val="00A35B30"/>
    <w:rsid w:val="00A36E44"/>
    <w:rsid w:val="00A43C64"/>
    <w:rsid w:val="00A46D1B"/>
    <w:rsid w:val="00A53CC9"/>
    <w:rsid w:val="00A55C74"/>
    <w:rsid w:val="00A56099"/>
    <w:rsid w:val="00A569DC"/>
    <w:rsid w:val="00A612C0"/>
    <w:rsid w:val="00A62D6D"/>
    <w:rsid w:val="00A63C2B"/>
    <w:rsid w:val="00A6454E"/>
    <w:rsid w:val="00A65F10"/>
    <w:rsid w:val="00A72CD9"/>
    <w:rsid w:val="00A76B5D"/>
    <w:rsid w:val="00A8105F"/>
    <w:rsid w:val="00A85238"/>
    <w:rsid w:val="00A866E0"/>
    <w:rsid w:val="00A94B0B"/>
    <w:rsid w:val="00A95537"/>
    <w:rsid w:val="00AA08CA"/>
    <w:rsid w:val="00AA0981"/>
    <w:rsid w:val="00AA46C6"/>
    <w:rsid w:val="00AC0EC1"/>
    <w:rsid w:val="00AC5F6A"/>
    <w:rsid w:val="00AC6E55"/>
    <w:rsid w:val="00AD0A34"/>
    <w:rsid w:val="00AD5DAF"/>
    <w:rsid w:val="00AD6D49"/>
    <w:rsid w:val="00AE459A"/>
    <w:rsid w:val="00AE506C"/>
    <w:rsid w:val="00AE52F2"/>
    <w:rsid w:val="00AF3DBD"/>
    <w:rsid w:val="00AF42B1"/>
    <w:rsid w:val="00B015B7"/>
    <w:rsid w:val="00B04214"/>
    <w:rsid w:val="00B07270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34EFF"/>
    <w:rsid w:val="00B35A25"/>
    <w:rsid w:val="00B40537"/>
    <w:rsid w:val="00B40CDE"/>
    <w:rsid w:val="00B43996"/>
    <w:rsid w:val="00B50E76"/>
    <w:rsid w:val="00B5255E"/>
    <w:rsid w:val="00B569A1"/>
    <w:rsid w:val="00B56BE3"/>
    <w:rsid w:val="00B64B8C"/>
    <w:rsid w:val="00B67918"/>
    <w:rsid w:val="00B87253"/>
    <w:rsid w:val="00B909DE"/>
    <w:rsid w:val="00B92154"/>
    <w:rsid w:val="00B97CF2"/>
    <w:rsid w:val="00BA1109"/>
    <w:rsid w:val="00BA19F0"/>
    <w:rsid w:val="00BA6913"/>
    <w:rsid w:val="00BB1783"/>
    <w:rsid w:val="00BB401A"/>
    <w:rsid w:val="00BB4A70"/>
    <w:rsid w:val="00BB4F2B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5F71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480E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62F6"/>
    <w:rsid w:val="00C97226"/>
    <w:rsid w:val="00CA1306"/>
    <w:rsid w:val="00CA54E8"/>
    <w:rsid w:val="00CA71EE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5F3F"/>
    <w:rsid w:val="00D062C0"/>
    <w:rsid w:val="00D07588"/>
    <w:rsid w:val="00D07656"/>
    <w:rsid w:val="00D14D8A"/>
    <w:rsid w:val="00D15A6B"/>
    <w:rsid w:val="00D15CD3"/>
    <w:rsid w:val="00D20AA1"/>
    <w:rsid w:val="00D22256"/>
    <w:rsid w:val="00D243D1"/>
    <w:rsid w:val="00D267C6"/>
    <w:rsid w:val="00D27141"/>
    <w:rsid w:val="00D30C68"/>
    <w:rsid w:val="00D32662"/>
    <w:rsid w:val="00D40EE8"/>
    <w:rsid w:val="00D4165C"/>
    <w:rsid w:val="00D417FE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0D9C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A3BA8"/>
    <w:rsid w:val="00DA69ED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0639F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1543"/>
    <w:rsid w:val="00E324A4"/>
    <w:rsid w:val="00E3374A"/>
    <w:rsid w:val="00E33C65"/>
    <w:rsid w:val="00E3497A"/>
    <w:rsid w:val="00E34D82"/>
    <w:rsid w:val="00E35F38"/>
    <w:rsid w:val="00E378DB"/>
    <w:rsid w:val="00E400E0"/>
    <w:rsid w:val="00E40467"/>
    <w:rsid w:val="00E42778"/>
    <w:rsid w:val="00E44F84"/>
    <w:rsid w:val="00E47D6A"/>
    <w:rsid w:val="00E637B2"/>
    <w:rsid w:val="00E6766A"/>
    <w:rsid w:val="00E7053C"/>
    <w:rsid w:val="00E72940"/>
    <w:rsid w:val="00E72C05"/>
    <w:rsid w:val="00E80CA8"/>
    <w:rsid w:val="00E83254"/>
    <w:rsid w:val="00E8643C"/>
    <w:rsid w:val="00E868E8"/>
    <w:rsid w:val="00E87775"/>
    <w:rsid w:val="00E9011F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EF2D44"/>
    <w:rsid w:val="00F010BD"/>
    <w:rsid w:val="00F02C5B"/>
    <w:rsid w:val="00F0478B"/>
    <w:rsid w:val="00F05A97"/>
    <w:rsid w:val="00F11BFB"/>
    <w:rsid w:val="00F132A3"/>
    <w:rsid w:val="00F20385"/>
    <w:rsid w:val="00F21014"/>
    <w:rsid w:val="00F22281"/>
    <w:rsid w:val="00F22D9B"/>
    <w:rsid w:val="00F2552F"/>
    <w:rsid w:val="00F26717"/>
    <w:rsid w:val="00F272A5"/>
    <w:rsid w:val="00F273A9"/>
    <w:rsid w:val="00F336BB"/>
    <w:rsid w:val="00F36DCF"/>
    <w:rsid w:val="00F5335D"/>
    <w:rsid w:val="00F55EE9"/>
    <w:rsid w:val="00F6256E"/>
    <w:rsid w:val="00F652EC"/>
    <w:rsid w:val="00F729B0"/>
    <w:rsid w:val="00F80264"/>
    <w:rsid w:val="00F81B79"/>
    <w:rsid w:val="00F84878"/>
    <w:rsid w:val="00F90300"/>
    <w:rsid w:val="00F911BC"/>
    <w:rsid w:val="00F978D1"/>
    <w:rsid w:val="00F97F3A"/>
    <w:rsid w:val="00FA0ACD"/>
    <w:rsid w:val="00FA1A50"/>
    <w:rsid w:val="00FA27EB"/>
    <w:rsid w:val="00FA4E95"/>
    <w:rsid w:val="00FA667A"/>
    <w:rsid w:val="00FB5229"/>
    <w:rsid w:val="00FC08C0"/>
    <w:rsid w:val="00FC5751"/>
    <w:rsid w:val="00FD5095"/>
    <w:rsid w:val="00FE03DE"/>
    <w:rsid w:val="00FE3B7A"/>
    <w:rsid w:val="00FE6C51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87B7-674C-4C48-9DC5-4CEBFEFD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Administrator</cp:lastModifiedBy>
  <cp:revision>2</cp:revision>
  <cp:lastPrinted>2016-11-15T11:53:00Z</cp:lastPrinted>
  <dcterms:created xsi:type="dcterms:W3CDTF">2017-01-03T11:43:00Z</dcterms:created>
  <dcterms:modified xsi:type="dcterms:W3CDTF">2017-01-03T11:43:00Z</dcterms:modified>
</cp:coreProperties>
</file>