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7" w:rsidRPr="00963CA8" w:rsidRDefault="00B04214" w:rsidP="00963CA8">
      <w:pPr>
        <w:spacing w:after="0" w:line="240" w:lineRule="auto"/>
        <w:jc w:val="center"/>
        <w:rPr>
          <w:rFonts w:cs="2  Esfehan"/>
          <w:rtl/>
          <w:lang w:bidi="fa-IR"/>
        </w:rPr>
      </w:pPr>
      <w:r w:rsidRPr="00963CA8">
        <w:rPr>
          <w:rFonts w:cs="2  Esfehan" w:hint="cs"/>
          <w:rtl/>
          <w:lang w:bidi="fa-IR"/>
        </w:rPr>
        <w:t>«بسمه تعالی»</w:t>
      </w:r>
    </w:p>
    <w:p w:rsidR="00B04214" w:rsidRPr="00C66158" w:rsidRDefault="00B04214" w:rsidP="00EF2D44">
      <w:pPr>
        <w:bidi/>
        <w:spacing w:after="0" w:line="240" w:lineRule="auto"/>
        <w:jc w:val="center"/>
        <w:rPr>
          <w:rFonts w:cs="Titr"/>
          <w:sz w:val="28"/>
          <w:szCs w:val="28"/>
          <w:rtl/>
          <w:lang w:bidi="fa-IR"/>
        </w:rPr>
      </w:pPr>
      <w:r w:rsidRPr="00C66158">
        <w:rPr>
          <w:rFonts w:cs="Titr" w:hint="cs"/>
          <w:sz w:val="28"/>
          <w:szCs w:val="28"/>
          <w:rtl/>
          <w:lang w:bidi="fa-IR"/>
        </w:rPr>
        <w:t>صورتجلسه</w:t>
      </w:r>
      <w:r w:rsidR="00171DE1">
        <w:rPr>
          <w:rFonts w:cs="Tit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11"/>
        <w:gridCol w:w="2694"/>
        <w:gridCol w:w="2778"/>
      </w:tblGrid>
      <w:tr w:rsidR="00B04214" w:rsidTr="00B1667C">
        <w:trPr>
          <w:trHeight w:val="165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963CA8" w:rsidP="005D4ED5">
            <w:pPr>
              <w:bidi/>
              <w:jc w:val="lowKashida"/>
              <w:rPr>
                <w:rFonts w:cs="Titr"/>
                <w:b/>
                <w:bCs/>
                <w:lang w:bidi="fa-IR"/>
              </w:rPr>
            </w:pPr>
            <w:r w:rsidRPr="00C66158">
              <w:rPr>
                <w:rFonts w:cs="Titr" w:hint="cs"/>
                <w:b/>
                <w:bCs/>
                <w:rtl/>
                <w:lang w:bidi="fa-IR"/>
              </w:rPr>
              <w:t>محل برگزاری:</w:t>
            </w:r>
            <w:r w:rsidRPr="00257A0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B1667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دفتر معاونت آموزش سازمان آموزش فنی و حرفه ای کشور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963CA8" w:rsidP="00E856E4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 w:rsidRPr="00C66158">
              <w:rPr>
                <w:rFonts w:cs="Titr" w:hint="cs"/>
                <w:b/>
                <w:bCs/>
                <w:rtl/>
                <w:lang w:bidi="fa-IR"/>
              </w:rPr>
              <w:t>تاریخ:</w:t>
            </w:r>
            <w:r w:rsidR="00B40CDE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E856E4">
              <w:rPr>
                <w:rFonts w:cs="Titr" w:hint="cs"/>
                <w:b/>
                <w:bCs/>
                <w:rtl/>
                <w:lang w:bidi="fa-IR"/>
              </w:rPr>
              <w:t>21</w:t>
            </w:r>
            <w:r w:rsidR="00171DE1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D157EE">
              <w:rPr>
                <w:rFonts w:cs="Titr" w:hint="cs"/>
                <w:b/>
                <w:bCs/>
                <w:rtl/>
                <w:lang w:bidi="fa-IR"/>
              </w:rPr>
              <w:t>1</w:t>
            </w:r>
            <w:r w:rsidR="001448D9">
              <w:rPr>
                <w:rFonts w:cs="Titr" w:hint="cs"/>
                <w:b/>
                <w:bCs/>
                <w:rtl/>
                <w:lang w:bidi="fa-IR"/>
              </w:rPr>
              <w:t>2</w:t>
            </w:r>
            <w:r w:rsidR="00171DE1">
              <w:rPr>
                <w:rFonts w:cs="Titr" w:hint="cs"/>
                <w:b/>
                <w:bCs/>
                <w:rtl/>
                <w:lang w:bidi="fa-IR"/>
              </w:rPr>
              <w:t>/95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963CA8" w:rsidP="009F6653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 w:rsidRPr="00C66158">
              <w:rPr>
                <w:rFonts w:cs="Titr" w:hint="cs"/>
                <w:b/>
                <w:bCs/>
                <w:rtl/>
                <w:lang w:bidi="fa-IR"/>
              </w:rPr>
              <w:t>جلسه:</w:t>
            </w:r>
            <w:r w:rsidR="00EF2D44" w:rsidRPr="00EF2D44">
              <w:rPr>
                <w:rFonts w:cs="Titr" w:hint="cs"/>
                <w:sz w:val="28"/>
                <w:szCs w:val="28"/>
                <w:rtl/>
                <w:lang w:bidi="fa-IR"/>
              </w:rPr>
              <w:t xml:space="preserve"> </w:t>
            </w:r>
            <w:r w:rsidR="000E60B9">
              <w:rPr>
                <w:rFonts w:cs="Titr" w:hint="cs"/>
                <w:b/>
                <w:bCs/>
                <w:rtl/>
                <w:lang w:bidi="fa-IR"/>
              </w:rPr>
              <w:t>شورای</w:t>
            </w:r>
            <w:r w:rsidR="00967BB3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EF2D44" w:rsidRPr="00EF2D44">
              <w:rPr>
                <w:rFonts w:cs="Titr" w:hint="cs"/>
                <w:b/>
                <w:bCs/>
                <w:rtl/>
                <w:lang w:bidi="fa-IR"/>
              </w:rPr>
              <w:t>گسترش آموزشي</w:t>
            </w:r>
          </w:p>
        </w:tc>
      </w:tr>
      <w:tr w:rsidR="00B04214" w:rsidTr="00B1667C">
        <w:trPr>
          <w:trHeight w:val="120"/>
        </w:trPr>
        <w:tc>
          <w:tcPr>
            <w:tcW w:w="521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B04214" w:rsidP="005D4ED5">
            <w:pPr>
              <w:bidi/>
              <w:jc w:val="lowKashida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963CA8" w:rsidP="00BF6FCE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C66158">
              <w:rPr>
                <w:rFonts w:cs="Titr" w:hint="cs"/>
                <w:b/>
                <w:bCs/>
                <w:rtl/>
                <w:lang w:bidi="fa-IR"/>
              </w:rPr>
              <w:t>ساعت پایان:</w:t>
            </w:r>
            <w:r w:rsidR="005D4ED5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BF6FCE">
              <w:rPr>
                <w:rFonts w:cs="Titr" w:hint="cs"/>
                <w:b/>
                <w:bCs/>
                <w:rtl/>
                <w:lang w:bidi="fa-IR"/>
              </w:rPr>
              <w:t>10:30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214" w:rsidRPr="00C66158" w:rsidRDefault="00963CA8" w:rsidP="00691C6E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 w:rsidRPr="00C66158">
              <w:rPr>
                <w:rFonts w:cs="Titr" w:hint="cs"/>
                <w:b/>
                <w:bCs/>
                <w:rtl/>
                <w:lang w:bidi="fa-IR"/>
              </w:rPr>
              <w:t>ساعت شروع:</w:t>
            </w:r>
            <w:r w:rsidR="00BF6FCE">
              <w:rPr>
                <w:rFonts w:cs="Titr" w:hint="cs"/>
                <w:b/>
                <w:bCs/>
                <w:rtl/>
                <w:lang w:bidi="fa-IR"/>
              </w:rPr>
              <w:t>9</w:t>
            </w:r>
          </w:p>
        </w:tc>
      </w:tr>
    </w:tbl>
    <w:p w:rsidR="00535C02" w:rsidRPr="005615C8" w:rsidRDefault="00535C02" w:rsidP="00705CFE">
      <w:pPr>
        <w:bidi/>
        <w:spacing w:after="0" w:line="240" w:lineRule="auto"/>
        <w:jc w:val="lowKashida"/>
        <w:rPr>
          <w:rFonts w:cs="Titr"/>
          <w:sz w:val="12"/>
          <w:szCs w:val="12"/>
          <w:rtl/>
          <w:lang w:bidi="fa-IR"/>
        </w:rPr>
      </w:pPr>
    </w:p>
    <w:p w:rsidR="00B04214" w:rsidRPr="00963CA8" w:rsidRDefault="00B04214" w:rsidP="00535C02">
      <w:pPr>
        <w:bidi/>
        <w:spacing w:after="0" w:line="240" w:lineRule="auto"/>
        <w:jc w:val="lowKashida"/>
        <w:rPr>
          <w:rFonts w:cs="Titr"/>
          <w:rtl/>
          <w:lang w:bidi="fa-IR"/>
        </w:rPr>
      </w:pPr>
      <w:r w:rsidRPr="00963CA8">
        <w:rPr>
          <w:rFonts w:cs="Titr" w:hint="cs"/>
          <w:rtl/>
          <w:lang w:bidi="fa-IR"/>
        </w:rPr>
        <w:t>عناوین مهمترین موضوعات مطروحه:</w:t>
      </w:r>
    </w:p>
    <w:tbl>
      <w:tblPr>
        <w:tblStyle w:val="TableGrid"/>
        <w:bidiVisual/>
        <w:tblW w:w="0" w:type="auto"/>
        <w:tblLook w:val="04A0"/>
      </w:tblPr>
      <w:tblGrid>
        <w:gridCol w:w="614"/>
        <w:gridCol w:w="10069"/>
      </w:tblGrid>
      <w:tr w:rsidR="00B04214" w:rsidTr="00705CFE">
        <w:tc>
          <w:tcPr>
            <w:tcW w:w="614" w:type="dxa"/>
            <w:shd w:val="clear" w:color="auto" w:fill="BFBFBF" w:themeFill="background1" w:themeFillShade="BF"/>
          </w:tcPr>
          <w:p w:rsidR="00B04214" w:rsidRPr="00C66158" w:rsidRDefault="00963CA8" w:rsidP="00B0421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C66158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069" w:type="dxa"/>
            <w:shd w:val="clear" w:color="auto" w:fill="BFBFBF" w:themeFill="background1" w:themeFillShade="BF"/>
          </w:tcPr>
          <w:p w:rsidR="00B04214" w:rsidRPr="00C66158" w:rsidRDefault="00963CA8" w:rsidP="00B0421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C66158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عنوان مطروحه</w:t>
            </w:r>
          </w:p>
        </w:tc>
      </w:tr>
      <w:tr w:rsidR="00B04214" w:rsidTr="00705CFE">
        <w:trPr>
          <w:trHeight w:val="39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B04214" w:rsidRPr="00BB4A70" w:rsidRDefault="00963CA8" w:rsidP="00C66158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BB4A70">
              <w:rPr>
                <w:rFonts w:cs="Titr" w:hint="cs"/>
                <w:rtl/>
                <w:lang w:bidi="fa-IR"/>
              </w:rPr>
              <w:t>1</w:t>
            </w:r>
          </w:p>
        </w:tc>
        <w:tc>
          <w:tcPr>
            <w:tcW w:w="10069" w:type="dxa"/>
            <w:vAlign w:val="center"/>
          </w:tcPr>
          <w:p w:rsidR="00535C02" w:rsidRPr="00F1027D" w:rsidRDefault="00A22168" w:rsidP="00A22168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A22168">
              <w:rPr>
                <w:rFonts w:cs="B Nazanin" w:hint="cs"/>
                <w:b/>
                <w:bCs/>
                <w:rtl/>
              </w:rPr>
              <w:t>تبدیل مركز زرندیه بعنوان مرکز ثابت استان</w:t>
            </w:r>
            <w:r>
              <w:rPr>
                <w:rFonts w:cs="B Nazanin" w:hint="cs"/>
                <w:b/>
                <w:bCs/>
                <w:rtl/>
              </w:rPr>
              <w:t xml:space="preserve"> مرکزی</w:t>
            </w:r>
          </w:p>
        </w:tc>
      </w:tr>
      <w:tr w:rsidR="00666575" w:rsidTr="00ED50A7">
        <w:trPr>
          <w:trHeight w:val="39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666575" w:rsidRPr="00BB4A70" w:rsidRDefault="00666575" w:rsidP="00C66158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BB4A70">
              <w:rPr>
                <w:rFonts w:cs="Titr" w:hint="cs"/>
                <w:rtl/>
                <w:lang w:bidi="fa-IR"/>
              </w:rPr>
              <w:t>2</w:t>
            </w:r>
          </w:p>
        </w:tc>
        <w:tc>
          <w:tcPr>
            <w:tcW w:w="10069" w:type="dxa"/>
          </w:tcPr>
          <w:p w:rsidR="00666575" w:rsidRPr="00F1027D" w:rsidRDefault="00EB640B" w:rsidP="00195C58">
            <w:pPr>
              <w:bidi/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بررسي تمديد قرارداد اجاره </w:t>
            </w:r>
            <w:r w:rsidR="00195C58" w:rsidRPr="00195C58">
              <w:rPr>
                <w:rFonts w:cs="B Nazanin" w:hint="cs"/>
                <w:b/>
                <w:bCs/>
                <w:rtl/>
              </w:rPr>
              <w:t xml:space="preserve">مراكز استيجاري </w:t>
            </w:r>
            <w:r w:rsidR="00827912">
              <w:rPr>
                <w:rFonts w:cs="B Nazanin" w:hint="cs"/>
                <w:b/>
                <w:bCs/>
                <w:rtl/>
              </w:rPr>
              <w:t>بادرود نطنز، کوهپایه</w:t>
            </w:r>
            <w:r w:rsidR="00C51873">
              <w:rPr>
                <w:rFonts w:cs="B Nazanin" w:hint="cs"/>
                <w:b/>
                <w:bCs/>
                <w:rtl/>
              </w:rPr>
              <w:t xml:space="preserve">، بوئین و میاندشت </w:t>
            </w:r>
            <w:r w:rsidR="00195C58" w:rsidRPr="00195C58">
              <w:rPr>
                <w:rFonts w:cs="B Nazanin" w:hint="cs"/>
                <w:b/>
                <w:bCs/>
                <w:rtl/>
              </w:rPr>
              <w:t>استان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اصفهان </w:t>
            </w:r>
          </w:p>
        </w:tc>
      </w:tr>
      <w:tr w:rsidR="007957B9" w:rsidTr="00ED50A7">
        <w:trPr>
          <w:trHeight w:val="39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7957B9" w:rsidRPr="00BB4A70" w:rsidRDefault="007957B9" w:rsidP="00C66158">
            <w:pPr>
              <w:bidi/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3</w:t>
            </w:r>
          </w:p>
        </w:tc>
        <w:tc>
          <w:tcPr>
            <w:tcW w:w="10069" w:type="dxa"/>
          </w:tcPr>
          <w:p w:rsidR="007957B9" w:rsidRPr="000C128A" w:rsidRDefault="007957B9" w:rsidP="0043501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بررسي تمديد قرارداد اجاره مراکز </w:t>
            </w:r>
            <w:r w:rsidR="008B1D72">
              <w:rPr>
                <w:rFonts w:cs="B Nazanin" w:hint="cs"/>
                <w:b/>
                <w:bCs/>
                <w:rtl/>
                <w:lang w:bidi="fa-IR"/>
              </w:rPr>
              <w:t xml:space="preserve">اوقافی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یک بوشهر و بندر طاهری استان بوشهر</w:t>
            </w:r>
          </w:p>
        </w:tc>
      </w:tr>
      <w:tr w:rsidR="007957B9" w:rsidTr="00ED50A7">
        <w:trPr>
          <w:trHeight w:val="39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7957B9" w:rsidRDefault="007957B9" w:rsidP="00C66158">
            <w:pPr>
              <w:bidi/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4</w:t>
            </w:r>
          </w:p>
        </w:tc>
        <w:tc>
          <w:tcPr>
            <w:tcW w:w="10069" w:type="dxa"/>
          </w:tcPr>
          <w:p w:rsidR="007957B9" w:rsidRDefault="007957B9" w:rsidP="0043501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بررسي تمديد قرارداد اجاره مراکز استیجاری اوقافی محلات و آشتیان استان مرکزی </w:t>
            </w:r>
          </w:p>
        </w:tc>
      </w:tr>
    </w:tbl>
    <w:p w:rsidR="00535C02" w:rsidRPr="005615C8" w:rsidRDefault="00535C02" w:rsidP="00705CFE">
      <w:pPr>
        <w:bidi/>
        <w:spacing w:after="0" w:line="240" w:lineRule="auto"/>
        <w:jc w:val="lowKashida"/>
        <w:rPr>
          <w:rFonts w:cs="Titr"/>
          <w:sz w:val="12"/>
          <w:szCs w:val="12"/>
          <w:rtl/>
          <w:lang w:bidi="fa-IR"/>
        </w:rPr>
      </w:pPr>
    </w:p>
    <w:p w:rsidR="00B04214" w:rsidRPr="00963CA8" w:rsidRDefault="00B04214" w:rsidP="00535C02">
      <w:pPr>
        <w:bidi/>
        <w:spacing w:after="0" w:line="240" w:lineRule="auto"/>
        <w:jc w:val="lowKashida"/>
        <w:rPr>
          <w:rFonts w:cs="Titr"/>
          <w:rtl/>
          <w:lang w:bidi="fa-IR"/>
        </w:rPr>
      </w:pPr>
      <w:r w:rsidRPr="00963CA8">
        <w:rPr>
          <w:rFonts w:cs="Titr" w:hint="cs"/>
          <w:rtl/>
          <w:lang w:bidi="fa-IR"/>
        </w:rPr>
        <w:t>مصوبات جلسه</w:t>
      </w:r>
      <w:r w:rsidR="00705CFE">
        <w:rPr>
          <w:rFonts w:cs="Titr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14"/>
        <w:gridCol w:w="6417"/>
        <w:gridCol w:w="2551"/>
        <w:gridCol w:w="1101"/>
      </w:tblGrid>
      <w:tr w:rsidR="00B04214" w:rsidTr="0059759B">
        <w:tc>
          <w:tcPr>
            <w:tcW w:w="614" w:type="dxa"/>
            <w:shd w:val="clear" w:color="auto" w:fill="BFBFBF" w:themeFill="background1" w:themeFillShade="BF"/>
          </w:tcPr>
          <w:p w:rsidR="00B04214" w:rsidRPr="00C66158" w:rsidRDefault="00963CA8" w:rsidP="00963CA8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466986337"/>
            <w:r w:rsidRPr="00C66158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417" w:type="dxa"/>
            <w:shd w:val="clear" w:color="auto" w:fill="BFBFBF" w:themeFill="background1" w:themeFillShade="BF"/>
          </w:tcPr>
          <w:p w:rsidR="00B04214" w:rsidRPr="00290337" w:rsidRDefault="00963CA8" w:rsidP="00B04214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9228BF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عنوان مصوبه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04214" w:rsidRPr="006E102C" w:rsidRDefault="00963CA8" w:rsidP="00B04214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E102C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اقدام کننده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B04214" w:rsidRPr="006E102C" w:rsidRDefault="00963CA8" w:rsidP="00B04214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6E102C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مدت مقرر</w:t>
            </w:r>
          </w:p>
        </w:tc>
      </w:tr>
      <w:bookmarkEnd w:id="0"/>
      <w:tr w:rsidR="003509D6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3509D6" w:rsidRPr="00064A98" w:rsidRDefault="003509D6" w:rsidP="00C661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064A98">
              <w:rPr>
                <w:rFonts w:cs="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17" w:type="dxa"/>
            <w:vAlign w:val="center"/>
          </w:tcPr>
          <w:p w:rsidR="003509D6" w:rsidRPr="00512AC0" w:rsidRDefault="003509D6" w:rsidP="00957B7E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bookmarkStart w:id="1" w:name="OLE_LINK5"/>
            <w:bookmarkStart w:id="2" w:name="OLE_LINK6"/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مقرر گرديد قرارداد اجاره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مراکز اوقافی مرکز یک بوشهر و بندر طاهری استان بوشهر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پایان سال 95 تمدید گردد</w:t>
            </w:r>
            <w:r>
              <w:rPr>
                <w:rFonts w:cs="B Nazanin" w:hint="cs"/>
                <w:rtl/>
                <w:lang w:bidi="fa-IR"/>
              </w:rPr>
              <w:t>.</w:t>
            </w:r>
            <w:bookmarkEnd w:id="1"/>
            <w:bookmarkEnd w:id="2"/>
          </w:p>
        </w:tc>
        <w:tc>
          <w:tcPr>
            <w:tcW w:w="2551" w:type="dxa"/>
            <w:vAlign w:val="center"/>
          </w:tcPr>
          <w:p w:rsidR="003509D6" w:rsidRDefault="003509D6" w:rsidP="00810B9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کل آموزش فنی و حرفه ای استان </w:t>
            </w:r>
            <w:r w:rsidR="00810B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دفتر برنامه ريزي، نوسازي و توسعه فناوري اطلاعات</w:t>
            </w:r>
          </w:p>
        </w:tc>
        <w:tc>
          <w:tcPr>
            <w:tcW w:w="1101" w:type="dxa"/>
            <w:vAlign w:val="center"/>
          </w:tcPr>
          <w:p w:rsidR="003509D6" w:rsidRDefault="003509D6" w:rsidP="004350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سال 95</w:t>
            </w:r>
          </w:p>
        </w:tc>
      </w:tr>
      <w:tr w:rsidR="003509D6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3509D6" w:rsidRPr="00064A98" w:rsidRDefault="003509D6" w:rsidP="00C661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bookmarkStart w:id="3" w:name="_Hlk475180294"/>
            <w:r>
              <w:rPr>
                <w:rFonts w:cs="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17" w:type="dxa"/>
            <w:vAlign w:val="center"/>
          </w:tcPr>
          <w:p w:rsidR="003509D6" w:rsidRPr="00981AEF" w:rsidRDefault="00827912" w:rsidP="0082791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تبديل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شعبه شهري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زرندیه استان مرکزی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مركز ثابت آموزشي مورد موافقت قرار نگرفته و 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مقرر گردید </w:t>
            </w:r>
            <w:r w:rsidR="00047C94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ادامه فعالیت 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مرکز مذکور </w:t>
            </w:r>
            <w:r w:rsidR="00B07D8F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مشروط به عدم پرداخت </w:t>
            </w:r>
            <w:r w:rsidR="003636C4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>هزینه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اي</w:t>
            </w:r>
            <w:r w:rsidR="003636C4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درخصوص </w:t>
            </w:r>
            <w:r w:rsidR="00B07D8F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اجاره </w:t>
            </w:r>
            <w:r w:rsidR="00DF3570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بها </w:t>
            </w:r>
            <w:r w:rsidR="003636C4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>و تجهیزات آموزشی،</w:t>
            </w:r>
            <w:r w:rsidR="004A245C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بعنوان شعبه شهری مرکز ساوه </w:t>
            </w:r>
            <w:r w:rsidR="00047C94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>استمرار یابد</w:t>
            </w:r>
            <w:r w:rsidR="00732488" w:rsidRPr="00981A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همچنین درخصوص توسعه کارگاههای آموزشی مرکز متذکر </w:t>
            </w:r>
            <w:r w:rsidR="00732488" w:rsidRPr="009F4D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می گردد شرط عدم موازی بودن حرف آموزشی مرکز با بخش خصوصی نیز در برنامه ریزی آموزشی </w:t>
            </w:r>
            <w:r w:rsidR="00353F49" w:rsidRPr="009F4D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 آینده </w:t>
            </w:r>
            <w:r w:rsidR="00732488" w:rsidRPr="009F4DED">
              <w:rPr>
                <w:rFonts w:cs="B Nazanin" w:hint="cs"/>
                <w:sz w:val="20"/>
                <w:szCs w:val="20"/>
                <w:rtl/>
                <w:lang w:bidi="fa-IR"/>
              </w:rPr>
              <w:t>مد نظر قرار گیرد.</w:t>
            </w:r>
          </w:p>
        </w:tc>
        <w:tc>
          <w:tcPr>
            <w:tcW w:w="2551" w:type="dxa"/>
            <w:vAlign w:val="center"/>
          </w:tcPr>
          <w:p w:rsidR="003509D6" w:rsidRDefault="00B07D8F" w:rsidP="002907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کل آموزش فنی و حرفه ای استان مرکزی</w:t>
            </w:r>
          </w:p>
        </w:tc>
        <w:tc>
          <w:tcPr>
            <w:tcW w:w="1101" w:type="dxa"/>
            <w:vAlign w:val="center"/>
          </w:tcPr>
          <w:p w:rsidR="003509D6" w:rsidRDefault="00B07D8F" w:rsidP="0037215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96</w:t>
            </w:r>
          </w:p>
        </w:tc>
      </w:tr>
      <w:bookmarkEnd w:id="3"/>
      <w:tr w:rsidR="0014512C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14512C" w:rsidRDefault="0014512C" w:rsidP="00C661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17" w:type="dxa"/>
            <w:vAlign w:val="center"/>
          </w:tcPr>
          <w:p w:rsidR="0014512C" w:rsidRPr="00E868E8" w:rsidRDefault="0014512C" w:rsidP="0014512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مقرر گرديد قرارداد اجاره مراکز اوقافی محلات و آشتیان استان مرکزی تا پایان سال 95 تمدید گرد</w:t>
            </w:r>
            <w:r w:rsidR="000F67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2551" w:type="dxa"/>
            <w:vAlign w:val="center"/>
          </w:tcPr>
          <w:p w:rsidR="0014512C" w:rsidRDefault="0014512C" w:rsidP="000F679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اداره کل آموزش فنی و حرفه ای استان </w:t>
            </w:r>
            <w:r w:rsidR="000F679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مرکزی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- دفتر برنامه ريزي، نوسازي و توسعه فناوري اطلاعات</w:t>
            </w:r>
          </w:p>
        </w:tc>
        <w:tc>
          <w:tcPr>
            <w:tcW w:w="1101" w:type="dxa"/>
            <w:vAlign w:val="center"/>
          </w:tcPr>
          <w:p w:rsidR="0014512C" w:rsidRDefault="0014512C" w:rsidP="004350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سال 95</w:t>
            </w:r>
          </w:p>
        </w:tc>
      </w:tr>
      <w:tr w:rsidR="00946DEE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946DEE" w:rsidRDefault="00946DEE" w:rsidP="00C661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17" w:type="dxa"/>
            <w:vAlign w:val="center"/>
          </w:tcPr>
          <w:p w:rsidR="00946DEE" w:rsidRPr="00E868E8" w:rsidRDefault="00946DEE" w:rsidP="0082791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قرارداد اجاره </w:t>
            </w:r>
            <w:r w:rsidR="0082791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شعب شهري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709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بادرود نطنز، کوهپایه و بوئین و میاندشت استان اصفهان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 پایان سال </w:t>
            </w:r>
            <w:r w:rsidR="004709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95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مورد تایید گرفت و مقرر گردید</w:t>
            </w:r>
            <w:r w:rsidR="0082791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مکان آموزشی </w:t>
            </w:r>
            <w:r w:rsidR="0082791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شعب</w:t>
            </w:r>
            <w:r w:rsidR="004709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فوق</w:t>
            </w:r>
            <w:r w:rsidR="0082791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الذكر</w:t>
            </w:r>
            <w:r w:rsidR="004709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سال آتی توسط مسئولان محلی تامین گردد.</w:t>
            </w:r>
            <w:r w:rsidR="004709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همچنین </w:t>
            </w:r>
            <w:r w:rsidR="0047091C"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شرط عدم موازی بودن حرف آموزشی مرکز با بخش خصوصی نیز در برنامه ریزی آموزشی </w:t>
            </w:r>
            <w:r w:rsidR="00C5115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ساال 96 </w:t>
            </w:r>
            <w:r w:rsidR="0047091C"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 نظر قرار گیرد</w:t>
            </w:r>
            <w:r w:rsidR="0071615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2551" w:type="dxa"/>
            <w:vAlign w:val="center"/>
          </w:tcPr>
          <w:p w:rsidR="00946DEE" w:rsidRPr="00E868E8" w:rsidRDefault="00946DEE" w:rsidP="004350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اداره كل آموزش فني و حرفه اي استان اصفهان- دفتر برنامه ريزي، نوسازي و توسعه فناوري اطلاعات</w:t>
            </w:r>
          </w:p>
        </w:tc>
        <w:tc>
          <w:tcPr>
            <w:tcW w:w="1101" w:type="dxa"/>
            <w:vAlign w:val="center"/>
          </w:tcPr>
          <w:p w:rsidR="00946DEE" w:rsidRPr="00E868E8" w:rsidRDefault="00946DEE" w:rsidP="00435013">
            <w:pPr>
              <w:jc w:val="center"/>
              <w:rPr>
                <w:sz w:val="18"/>
                <w:szCs w:val="18"/>
              </w:rPr>
            </w:pPr>
            <w:r w:rsidRPr="00E868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پايان سال 1395</w:t>
            </w:r>
          </w:p>
        </w:tc>
      </w:tr>
      <w:tr w:rsidR="00D737BD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D737BD" w:rsidRDefault="00D737BD" w:rsidP="00C66158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17" w:type="dxa"/>
            <w:vAlign w:val="center"/>
          </w:tcPr>
          <w:p w:rsidR="00A211B1" w:rsidRPr="00CE78DC" w:rsidRDefault="00D737BD" w:rsidP="00A211B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با عنايت به دستور رياست محترم سازمان مبني بر مصوب نمودن هرگونه احداث</w:t>
            </w:r>
            <w:r w:rsidRPr="00CE78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راه اندازي و افتتاح مراكز و كارگاه هاي آموزشي در شوراي گسترش آموزشي </w:t>
            </w:r>
            <w:r w:rsidR="00A211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مقرر گرديد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مصوبه مورخ </w:t>
            </w:r>
            <w:r w:rsidR="00A211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24/2/1392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شوراي نظارت</w:t>
            </w:r>
            <w:r w:rsidRPr="00CE78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ارزيابي و گسترش آموزشي به اين مضمون</w:t>
            </w:r>
            <w:r w:rsidR="00A211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211B1" w:rsidRPr="00CE78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  <w:r w:rsidR="00A211B1" w:rsidRPr="00A211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براساس مفاد ماده 4 دستورالعمل تشكيل شورا ايجاد و توسعه مراكز جديد و همچنين تغيير در فعاليت مراكز در استان ها تنها با مجوز شوراي مركزي نظارت، ارزيابي و گسترش آموزشي امكان پذير است. در صورت عدم اخذ مجوز مربوطه ستاد هيچگونه تعهدي در خصوص امور پشتيباني،آموزشي، اداري و مالي اين مراكز نخواهد داشت.</w:t>
            </w:r>
            <w:r w:rsidR="00A211B1" w:rsidRPr="00CE78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" </w:t>
            </w:r>
            <w:r w:rsidR="00CE78DC" w:rsidRPr="00CE78D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رعايت و مورد توجه قرار گيرد.</w:t>
            </w:r>
          </w:p>
          <w:p w:rsidR="00D737BD" w:rsidRPr="00E868E8" w:rsidRDefault="00D737BD" w:rsidP="00D737B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37BD" w:rsidRPr="00E868E8" w:rsidRDefault="00CE78DC" w:rsidP="0043501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ادارات كل آموزش فني و حرفه اي استان ها</w:t>
            </w:r>
          </w:p>
        </w:tc>
        <w:tc>
          <w:tcPr>
            <w:tcW w:w="1101" w:type="dxa"/>
            <w:vAlign w:val="center"/>
          </w:tcPr>
          <w:p w:rsidR="00D737BD" w:rsidRPr="00E868E8" w:rsidRDefault="00CE78DC" w:rsidP="004350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دائم</w:t>
            </w:r>
          </w:p>
        </w:tc>
      </w:tr>
      <w:tr w:rsidR="000F16A4" w:rsidTr="0059759B">
        <w:trPr>
          <w:trHeight w:val="567"/>
        </w:trPr>
        <w:tc>
          <w:tcPr>
            <w:tcW w:w="614" w:type="dxa"/>
            <w:shd w:val="clear" w:color="auto" w:fill="BFBFBF" w:themeFill="background1" w:themeFillShade="BF"/>
            <w:vAlign w:val="center"/>
          </w:tcPr>
          <w:p w:rsidR="000F16A4" w:rsidRDefault="000F16A4" w:rsidP="00C66158">
            <w:pPr>
              <w:bidi/>
              <w:jc w:val="center"/>
              <w:rPr>
                <w:rFonts w:cs="Titr" w:hint="cs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17" w:type="dxa"/>
            <w:vAlign w:val="center"/>
          </w:tcPr>
          <w:p w:rsidR="000F16A4" w:rsidRDefault="000F16A4" w:rsidP="00C1688E">
            <w:pPr>
              <w:bidi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کلیه مدیران محترم استانها می بایست تا پایان اردیبهشت ماه سال 96 نسبت به </w:t>
            </w:r>
            <w:r w:rsidR="002474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اخذ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مجوز </w:t>
            </w:r>
            <w:r w:rsidR="00D6321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از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شورای گسترش آموزشی</w:t>
            </w:r>
            <w:r w:rsidR="002474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جهت فعالیت مراکز استیجاری استان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اقدام نمایند</w:t>
            </w:r>
          </w:p>
        </w:tc>
        <w:tc>
          <w:tcPr>
            <w:tcW w:w="2551" w:type="dxa"/>
            <w:vAlign w:val="center"/>
          </w:tcPr>
          <w:p w:rsidR="000F16A4" w:rsidRDefault="000F16A4" w:rsidP="00435013">
            <w:pPr>
              <w:bidi/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ادارات كل آموزش فني و حرفه اي استان ها</w:t>
            </w:r>
          </w:p>
        </w:tc>
        <w:tc>
          <w:tcPr>
            <w:tcW w:w="1101" w:type="dxa"/>
            <w:vAlign w:val="center"/>
          </w:tcPr>
          <w:p w:rsidR="000F16A4" w:rsidRDefault="000F16A4" w:rsidP="00435013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اردیبهشت 96</w:t>
            </w:r>
          </w:p>
        </w:tc>
      </w:tr>
    </w:tbl>
    <w:p w:rsidR="002A6836" w:rsidRDefault="002A6836" w:rsidP="00535C02">
      <w:pPr>
        <w:bidi/>
        <w:spacing w:after="0" w:line="240" w:lineRule="auto"/>
        <w:jc w:val="lowKashida"/>
        <w:rPr>
          <w:rFonts w:cs="Titr"/>
          <w:rtl/>
          <w:lang w:bidi="fa-IR"/>
        </w:rPr>
      </w:pPr>
    </w:p>
    <w:p w:rsidR="00B36ADE" w:rsidRPr="00963CA8" w:rsidRDefault="00B36ADE" w:rsidP="00B36ADE">
      <w:pPr>
        <w:bidi/>
        <w:spacing w:after="0" w:line="240" w:lineRule="auto"/>
        <w:jc w:val="lowKashida"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>حاضرين</w:t>
      </w:r>
      <w:r w:rsidRPr="00963CA8">
        <w:rPr>
          <w:rFonts w:cs="Titr" w:hint="cs"/>
          <w:rtl/>
          <w:lang w:bidi="fa-IR"/>
        </w:rPr>
        <w:t xml:space="preserve"> جلسه</w:t>
      </w:r>
      <w:r>
        <w:rPr>
          <w:rFonts w:cs="Titr" w:hint="cs"/>
          <w:rtl/>
          <w:lang w:bidi="fa-IR"/>
        </w:rPr>
        <w:t>:</w:t>
      </w:r>
    </w:p>
    <w:tbl>
      <w:tblPr>
        <w:tblStyle w:val="TableGrid"/>
        <w:bidiVisual/>
        <w:tblW w:w="10717" w:type="dxa"/>
        <w:tblLayout w:type="fixed"/>
        <w:tblLook w:val="04A0"/>
      </w:tblPr>
      <w:tblGrid>
        <w:gridCol w:w="510"/>
        <w:gridCol w:w="2127"/>
        <w:gridCol w:w="425"/>
        <w:gridCol w:w="425"/>
        <w:gridCol w:w="2693"/>
        <w:gridCol w:w="426"/>
        <w:gridCol w:w="567"/>
        <w:gridCol w:w="2976"/>
        <w:gridCol w:w="568"/>
      </w:tblGrid>
      <w:tr w:rsidR="00B36ADE" w:rsidTr="00435013">
        <w:trPr>
          <w:cantSplit/>
          <w:trHeight w:val="567"/>
        </w:trPr>
        <w:tc>
          <w:tcPr>
            <w:tcW w:w="510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963CA8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36ADE" w:rsidRPr="00963CA8" w:rsidRDefault="00B36ADE" w:rsidP="004350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اعضا جلسه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2C5A51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2C5A51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حضور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963CA8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B36ADE" w:rsidRPr="00963CA8" w:rsidRDefault="00B36ADE" w:rsidP="004350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اعضا جلسه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2C5A51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2C5A51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حضور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963CA8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B36ADE" w:rsidRPr="00963CA8" w:rsidRDefault="00B36ADE" w:rsidP="00435013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963CA8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اعضا جلسه</w:t>
            </w:r>
          </w:p>
        </w:tc>
        <w:tc>
          <w:tcPr>
            <w:tcW w:w="568" w:type="dxa"/>
            <w:shd w:val="clear" w:color="auto" w:fill="BFBFBF" w:themeFill="background1" w:themeFillShade="BF"/>
            <w:textDirection w:val="btLr"/>
            <w:vAlign w:val="center"/>
          </w:tcPr>
          <w:p w:rsidR="00B36ADE" w:rsidRPr="002C5A51" w:rsidRDefault="00B36ADE" w:rsidP="00435013">
            <w:pPr>
              <w:bidi/>
              <w:ind w:left="113" w:right="113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2C5A51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حضور</w:t>
            </w:r>
          </w:p>
        </w:tc>
      </w:tr>
      <w:tr w:rsidR="00B36ADE" w:rsidTr="00435013">
        <w:trPr>
          <w:trHeight w:val="454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401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27" w:type="dxa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 موسوي</w:t>
            </w:r>
            <w:r w:rsidRPr="008A401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 w:rsidRPr="00363C3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401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</w:t>
            </w:r>
            <w:r w:rsidRPr="008A4014">
              <w:rPr>
                <w:rFonts w:cs="B Nazanin" w:hint="cs"/>
                <w:b/>
                <w:bCs/>
                <w:rtl/>
                <w:lang w:bidi="fa-IR"/>
              </w:rPr>
              <w:t xml:space="preserve"> طاهرپور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شلماني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4014">
              <w:rPr>
                <w:rFonts w:cs="B Nazanin" w:hint="cs"/>
                <w:b/>
                <w:bCs/>
                <w:rtl/>
                <w:lang w:bidi="fa-IR"/>
              </w:rPr>
              <w:t xml:space="preserve">3 </w:t>
            </w:r>
          </w:p>
        </w:tc>
        <w:tc>
          <w:tcPr>
            <w:tcW w:w="2976" w:type="dxa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 اردشيري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 w:rsidRPr="00DE3E5B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●</w:t>
            </w:r>
          </w:p>
        </w:tc>
      </w:tr>
      <w:tr w:rsidR="00B36ADE" w:rsidTr="00435013">
        <w:trPr>
          <w:trHeight w:val="454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127" w:type="dxa"/>
            <w:vAlign w:val="center"/>
          </w:tcPr>
          <w:p w:rsidR="00B36ADE" w:rsidRDefault="00B36ADE" w:rsidP="0043501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آقای چوبینه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 باجولوند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B36ADE" w:rsidRPr="008A4014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 قاسمي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●</w:t>
            </w:r>
          </w:p>
        </w:tc>
      </w:tr>
      <w:tr w:rsidR="00B36ADE" w:rsidTr="00435013">
        <w:trPr>
          <w:trHeight w:val="454"/>
        </w:trPr>
        <w:tc>
          <w:tcPr>
            <w:tcW w:w="510" w:type="dxa"/>
            <w:shd w:val="clear" w:color="auto" w:fill="BFBFBF" w:themeFill="background1" w:themeFillShade="BF"/>
            <w:vAlign w:val="center"/>
          </w:tcPr>
          <w:p w:rsidR="00B36ADE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127" w:type="dxa"/>
            <w:vAlign w:val="center"/>
          </w:tcPr>
          <w:p w:rsidR="00B36ADE" w:rsidRDefault="00B36ADE" w:rsidP="004350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آقاي رضائي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36ADE" w:rsidRDefault="00B36ADE" w:rsidP="0043501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B36ADE" w:rsidRDefault="00B36ADE" w:rsidP="0043501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خانم معظمی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●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36ADE" w:rsidRDefault="00B36ADE" w:rsidP="00435013">
            <w:pPr>
              <w:jc w:val="center"/>
            </w:pPr>
          </w:p>
        </w:tc>
      </w:tr>
    </w:tbl>
    <w:p w:rsidR="002A6836" w:rsidRDefault="002A6836" w:rsidP="002A6836">
      <w:pPr>
        <w:bidi/>
        <w:spacing w:after="0" w:line="240" w:lineRule="auto"/>
        <w:jc w:val="lowKashida"/>
        <w:rPr>
          <w:rFonts w:cs="Titr"/>
          <w:rtl/>
          <w:lang w:bidi="fa-IR"/>
        </w:rPr>
      </w:pPr>
    </w:p>
    <w:sectPr w:rsidR="002A6836" w:rsidSect="00FA0ACD">
      <w:pgSz w:w="11907" w:h="16839" w:code="9"/>
      <w:pgMar w:top="170" w:right="720" w:bottom="11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Esfeha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44"/>
    <w:multiLevelType w:val="hybridMultilevel"/>
    <w:tmpl w:val="9D9CE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657F"/>
    <w:multiLevelType w:val="hybridMultilevel"/>
    <w:tmpl w:val="2C5E6A42"/>
    <w:lvl w:ilvl="0" w:tplc="FE6AC9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888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4E7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CBA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4D3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A45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661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8EA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3C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B12B6"/>
    <w:multiLevelType w:val="hybridMultilevel"/>
    <w:tmpl w:val="83D2B652"/>
    <w:lvl w:ilvl="0" w:tplc="36D6F6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214"/>
    <w:rsid w:val="00001812"/>
    <w:rsid w:val="00001EDF"/>
    <w:rsid w:val="00003B6B"/>
    <w:rsid w:val="00004269"/>
    <w:rsid w:val="0001100C"/>
    <w:rsid w:val="00011E2B"/>
    <w:rsid w:val="00020F65"/>
    <w:rsid w:val="000262E3"/>
    <w:rsid w:val="00026D66"/>
    <w:rsid w:val="00033E13"/>
    <w:rsid w:val="0003681E"/>
    <w:rsid w:val="000430EF"/>
    <w:rsid w:val="00043F9F"/>
    <w:rsid w:val="00044FE5"/>
    <w:rsid w:val="00047C94"/>
    <w:rsid w:val="00051A8C"/>
    <w:rsid w:val="00051C5F"/>
    <w:rsid w:val="00053993"/>
    <w:rsid w:val="00056115"/>
    <w:rsid w:val="00056DE0"/>
    <w:rsid w:val="00062897"/>
    <w:rsid w:val="000646E2"/>
    <w:rsid w:val="00064A98"/>
    <w:rsid w:val="00071D9A"/>
    <w:rsid w:val="00077B53"/>
    <w:rsid w:val="00082351"/>
    <w:rsid w:val="0008285F"/>
    <w:rsid w:val="00085AB2"/>
    <w:rsid w:val="00085E97"/>
    <w:rsid w:val="000878F5"/>
    <w:rsid w:val="00090DBB"/>
    <w:rsid w:val="00090F38"/>
    <w:rsid w:val="000918CF"/>
    <w:rsid w:val="00093AC3"/>
    <w:rsid w:val="0009674B"/>
    <w:rsid w:val="000A6670"/>
    <w:rsid w:val="000B0667"/>
    <w:rsid w:val="000B1982"/>
    <w:rsid w:val="000B254F"/>
    <w:rsid w:val="000B6187"/>
    <w:rsid w:val="000C10CF"/>
    <w:rsid w:val="000C128A"/>
    <w:rsid w:val="000C2003"/>
    <w:rsid w:val="000C3ED8"/>
    <w:rsid w:val="000C52C3"/>
    <w:rsid w:val="000E064C"/>
    <w:rsid w:val="000E5882"/>
    <w:rsid w:val="000E60B9"/>
    <w:rsid w:val="000F16A4"/>
    <w:rsid w:val="000F30EB"/>
    <w:rsid w:val="000F679E"/>
    <w:rsid w:val="000F67DD"/>
    <w:rsid w:val="001005FA"/>
    <w:rsid w:val="00104D68"/>
    <w:rsid w:val="0010598F"/>
    <w:rsid w:val="00106DD9"/>
    <w:rsid w:val="001106D0"/>
    <w:rsid w:val="00111562"/>
    <w:rsid w:val="00112060"/>
    <w:rsid w:val="0011597E"/>
    <w:rsid w:val="00121FB1"/>
    <w:rsid w:val="00123865"/>
    <w:rsid w:val="0012603E"/>
    <w:rsid w:val="00126FCE"/>
    <w:rsid w:val="00131D9C"/>
    <w:rsid w:val="00133A4C"/>
    <w:rsid w:val="001343CE"/>
    <w:rsid w:val="0014099E"/>
    <w:rsid w:val="00141873"/>
    <w:rsid w:val="001448D9"/>
    <w:rsid w:val="0014512C"/>
    <w:rsid w:val="001452CB"/>
    <w:rsid w:val="0015170E"/>
    <w:rsid w:val="001517E4"/>
    <w:rsid w:val="001566E8"/>
    <w:rsid w:val="001568C0"/>
    <w:rsid w:val="00162F88"/>
    <w:rsid w:val="00165222"/>
    <w:rsid w:val="0016534C"/>
    <w:rsid w:val="00167EED"/>
    <w:rsid w:val="00171DE1"/>
    <w:rsid w:val="001837AE"/>
    <w:rsid w:val="001906BD"/>
    <w:rsid w:val="00193AF2"/>
    <w:rsid w:val="00193E02"/>
    <w:rsid w:val="00195C58"/>
    <w:rsid w:val="001A3376"/>
    <w:rsid w:val="001B10FE"/>
    <w:rsid w:val="001B1142"/>
    <w:rsid w:val="001B15E6"/>
    <w:rsid w:val="001B221E"/>
    <w:rsid w:val="001B3387"/>
    <w:rsid w:val="001B3FA6"/>
    <w:rsid w:val="001C0054"/>
    <w:rsid w:val="001C01C8"/>
    <w:rsid w:val="001C3AE8"/>
    <w:rsid w:val="001C4031"/>
    <w:rsid w:val="001C554E"/>
    <w:rsid w:val="001C6337"/>
    <w:rsid w:val="001D211D"/>
    <w:rsid w:val="001D2D52"/>
    <w:rsid w:val="001E69CA"/>
    <w:rsid w:val="001F1D3B"/>
    <w:rsid w:val="001F1F70"/>
    <w:rsid w:val="001F2AC9"/>
    <w:rsid w:val="001F42F0"/>
    <w:rsid w:val="0020047C"/>
    <w:rsid w:val="00202271"/>
    <w:rsid w:val="00204B50"/>
    <w:rsid w:val="00205B65"/>
    <w:rsid w:val="00212207"/>
    <w:rsid w:val="0022246A"/>
    <w:rsid w:val="00222881"/>
    <w:rsid w:val="00222E41"/>
    <w:rsid w:val="002238D1"/>
    <w:rsid w:val="00225ADD"/>
    <w:rsid w:val="00230054"/>
    <w:rsid w:val="00234A8A"/>
    <w:rsid w:val="00234F42"/>
    <w:rsid w:val="00235176"/>
    <w:rsid w:val="00240DBC"/>
    <w:rsid w:val="00244181"/>
    <w:rsid w:val="002441B4"/>
    <w:rsid w:val="00245AAC"/>
    <w:rsid w:val="00245C5B"/>
    <w:rsid w:val="002468F1"/>
    <w:rsid w:val="00247483"/>
    <w:rsid w:val="00250962"/>
    <w:rsid w:val="002511A8"/>
    <w:rsid w:val="0025318B"/>
    <w:rsid w:val="00253CA8"/>
    <w:rsid w:val="00255373"/>
    <w:rsid w:val="00255792"/>
    <w:rsid w:val="00257A01"/>
    <w:rsid w:val="002640EC"/>
    <w:rsid w:val="002650BD"/>
    <w:rsid w:val="00265B32"/>
    <w:rsid w:val="00267EB8"/>
    <w:rsid w:val="002700E7"/>
    <w:rsid w:val="00270A39"/>
    <w:rsid w:val="00273A62"/>
    <w:rsid w:val="002810D9"/>
    <w:rsid w:val="002819A2"/>
    <w:rsid w:val="0028565A"/>
    <w:rsid w:val="00290337"/>
    <w:rsid w:val="002907B2"/>
    <w:rsid w:val="00290EF6"/>
    <w:rsid w:val="00293293"/>
    <w:rsid w:val="00294F35"/>
    <w:rsid w:val="002A4E04"/>
    <w:rsid w:val="002A6836"/>
    <w:rsid w:val="002B499C"/>
    <w:rsid w:val="002B4E3E"/>
    <w:rsid w:val="002B7721"/>
    <w:rsid w:val="002C1C89"/>
    <w:rsid w:val="002C31D9"/>
    <w:rsid w:val="002C5A51"/>
    <w:rsid w:val="002D4F25"/>
    <w:rsid w:val="002D6EC7"/>
    <w:rsid w:val="002D76E6"/>
    <w:rsid w:val="002E12DB"/>
    <w:rsid w:val="002E2AF6"/>
    <w:rsid w:val="002E5DCC"/>
    <w:rsid w:val="002F0584"/>
    <w:rsid w:val="002F3105"/>
    <w:rsid w:val="002F3BD5"/>
    <w:rsid w:val="002F47D3"/>
    <w:rsid w:val="002F5E95"/>
    <w:rsid w:val="0031023B"/>
    <w:rsid w:val="0031217D"/>
    <w:rsid w:val="00312469"/>
    <w:rsid w:val="00315132"/>
    <w:rsid w:val="00315649"/>
    <w:rsid w:val="00316AA2"/>
    <w:rsid w:val="00317839"/>
    <w:rsid w:val="00320430"/>
    <w:rsid w:val="00323D8C"/>
    <w:rsid w:val="00323F9B"/>
    <w:rsid w:val="00325E23"/>
    <w:rsid w:val="00334CB8"/>
    <w:rsid w:val="0033735F"/>
    <w:rsid w:val="00337C41"/>
    <w:rsid w:val="00343681"/>
    <w:rsid w:val="00346DD6"/>
    <w:rsid w:val="003509D6"/>
    <w:rsid w:val="00353F49"/>
    <w:rsid w:val="00354008"/>
    <w:rsid w:val="0035576B"/>
    <w:rsid w:val="00355D0D"/>
    <w:rsid w:val="00355FD8"/>
    <w:rsid w:val="0035606A"/>
    <w:rsid w:val="0036013A"/>
    <w:rsid w:val="00362B04"/>
    <w:rsid w:val="003636C4"/>
    <w:rsid w:val="00365BAE"/>
    <w:rsid w:val="00367A2B"/>
    <w:rsid w:val="003708A2"/>
    <w:rsid w:val="00372157"/>
    <w:rsid w:val="00372425"/>
    <w:rsid w:val="00372CD7"/>
    <w:rsid w:val="00377881"/>
    <w:rsid w:val="0038262C"/>
    <w:rsid w:val="003842C3"/>
    <w:rsid w:val="003875B9"/>
    <w:rsid w:val="00387771"/>
    <w:rsid w:val="00387897"/>
    <w:rsid w:val="00387A17"/>
    <w:rsid w:val="00392FB0"/>
    <w:rsid w:val="0039508C"/>
    <w:rsid w:val="00395DEA"/>
    <w:rsid w:val="00396D7C"/>
    <w:rsid w:val="003A0ECF"/>
    <w:rsid w:val="003A2822"/>
    <w:rsid w:val="003A77F5"/>
    <w:rsid w:val="003B5021"/>
    <w:rsid w:val="003C149F"/>
    <w:rsid w:val="003D5CC2"/>
    <w:rsid w:val="003D63F3"/>
    <w:rsid w:val="003E3645"/>
    <w:rsid w:val="003E3952"/>
    <w:rsid w:val="003E495D"/>
    <w:rsid w:val="003F2362"/>
    <w:rsid w:val="003F468D"/>
    <w:rsid w:val="003F5F66"/>
    <w:rsid w:val="003F776F"/>
    <w:rsid w:val="003F7F37"/>
    <w:rsid w:val="00402D4D"/>
    <w:rsid w:val="00406C7E"/>
    <w:rsid w:val="00407B23"/>
    <w:rsid w:val="00411C0B"/>
    <w:rsid w:val="00413AA4"/>
    <w:rsid w:val="004171DD"/>
    <w:rsid w:val="00422C5E"/>
    <w:rsid w:val="0042361F"/>
    <w:rsid w:val="00423CB7"/>
    <w:rsid w:val="0042594F"/>
    <w:rsid w:val="00425FA5"/>
    <w:rsid w:val="004338AD"/>
    <w:rsid w:val="00434250"/>
    <w:rsid w:val="004376F1"/>
    <w:rsid w:val="00441329"/>
    <w:rsid w:val="00443C59"/>
    <w:rsid w:val="00445A38"/>
    <w:rsid w:val="00450F65"/>
    <w:rsid w:val="004527A6"/>
    <w:rsid w:val="00455DC6"/>
    <w:rsid w:val="0045647D"/>
    <w:rsid w:val="004637E2"/>
    <w:rsid w:val="0046596F"/>
    <w:rsid w:val="00466FED"/>
    <w:rsid w:val="0047091C"/>
    <w:rsid w:val="004740F1"/>
    <w:rsid w:val="00477A32"/>
    <w:rsid w:val="00481B77"/>
    <w:rsid w:val="00483845"/>
    <w:rsid w:val="00484CCF"/>
    <w:rsid w:val="00487C5F"/>
    <w:rsid w:val="00492429"/>
    <w:rsid w:val="00493A56"/>
    <w:rsid w:val="00493F8A"/>
    <w:rsid w:val="00495484"/>
    <w:rsid w:val="004A245C"/>
    <w:rsid w:val="004B2392"/>
    <w:rsid w:val="004C68DA"/>
    <w:rsid w:val="004D03D4"/>
    <w:rsid w:val="004D25F0"/>
    <w:rsid w:val="004D524F"/>
    <w:rsid w:val="004D527D"/>
    <w:rsid w:val="004D71EC"/>
    <w:rsid w:val="004D786F"/>
    <w:rsid w:val="004E156C"/>
    <w:rsid w:val="004E3484"/>
    <w:rsid w:val="004E4539"/>
    <w:rsid w:val="004F11F1"/>
    <w:rsid w:val="004F31AA"/>
    <w:rsid w:val="004F3D7F"/>
    <w:rsid w:val="004F4589"/>
    <w:rsid w:val="0050241A"/>
    <w:rsid w:val="005052E0"/>
    <w:rsid w:val="00505835"/>
    <w:rsid w:val="005071C6"/>
    <w:rsid w:val="00512AC0"/>
    <w:rsid w:val="005217EC"/>
    <w:rsid w:val="00521E0E"/>
    <w:rsid w:val="00522916"/>
    <w:rsid w:val="00524602"/>
    <w:rsid w:val="005268CC"/>
    <w:rsid w:val="00527298"/>
    <w:rsid w:val="00530481"/>
    <w:rsid w:val="00530A4E"/>
    <w:rsid w:val="00532BA4"/>
    <w:rsid w:val="00535C02"/>
    <w:rsid w:val="00535D59"/>
    <w:rsid w:val="005406E6"/>
    <w:rsid w:val="00544A98"/>
    <w:rsid w:val="00544C89"/>
    <w:rsid w:val="0054510C"/>
    <w:rsid w:val="00550899"/>
    <w:rsid w:val="00551D16"/>
    <w:rsid w:val="00552CF5"/>
    <w:rsid w:val="00560A55"/>
    <w:rsid w:val="0056102F"/>
    <w:rsid w:val="005615C8"/>
    <w:rsid w:val="00562170"/>
    <w:rsid w:val="00567858"/>
    <w:rsid w:val="00574220"/>
    <w:rsid w:val="005754E4"/>
    <w:rsid w:val="00576609"/>
    <w:rsid w:val="00583695"/>
    <w:rsid w:val="00584E4C"/>
    <w:rsid w:val="00585BF2"/>
    <w:rsid w:val="0058688F"/>
    <w:rsid w:val="00587322"/>
    <w:rsid w:val="00587B55"/>
    <w:rsid w:val="005908F7"/>
    <w:rsid w:val="00591474"/>
    <w:rsid w:val="00594532"/>
    <w:rsid w:val="00595AF9"/>
    <w:rsid w:val="00595D6A"/>
    <w:rsid w:val="0059732D"/>
    <w:rsid w:val="0059759B"/>
    <w:rsid w:val="005A2DA4"/>
    <w:rsid w:val="005A51AA"/>
    <w:rsid w:val="005A648C"/>
    <w:rsid w:val="005B0D78"/>
    <w:rsid w:val="005B3E23"/>
    <w:rsid w:val="005B631A"/>
    <w:rsid w:val="005B70C2"/>
    <w:rsid w:val="005B7272"/>
    <w:rsid w:val="005C1E0A"/>
    <w:rsid w:val="005C1F4D"/>
    <w:rsid w:val="005C3954"/>
    <w:rsid w:val="005C4961"/>
    <w:rsid w:val="005C4B16"/>
    <w:rsid w:val="005D0E25"/>
    <w:rsid w:val="005D46AC"/>
    <w:rsid w:val="005D4ED5"/>
    <w:rsid w:val="005E13FE"/>
    <w:rsid w:val="005E22EF"/>
    <w:rsid w:val="005E5D11"/>
    <w:rsid w:val="005E61DA"/>
    <w:rsid w:val="005F1E12"/>
    <w:rsid w:val="005F2BF0"/>
    <w:rsid w:val="005F33E4"/>
    <w:rsid w:val="005F6181"/>
    <w:rsid w:val="005F6C01"/>
    <w:rsid w:val="006016E0"/>
    <w:rsid w:val="00603F28"/>
    <w:rsid w:val="00604FBC"/>
    <w:rsid w:val="00612F27"/>
    <w:rsid w:val="00613367"/>
    <w:rsid w:val="00615EAE"/>
    <w:rsid w:val="006206E6"/>
    <w:rsid w:val="00627A17"/>
    <w:rsid w:val="00632E90"/>
    <w:rsid w:val="00637EE9"/>
    <w:rsid w:val="006467AA"/>
    <w:rsid w:val="0065098F"/>
    <w:rsid w:val="006512DB"/>
    <w:rsid w:val="00657839"/>
    <w:rsid w:val="00660505"/>
    <w:rsid w:val="00661151"/>
    <w:rsid w:val="006649EA"/>
    <w:rsid w:val="00664AF8"/>
    <w:rsid w:val="00666575"/>
    <w:rsid w:val="00666813"/>
    <w:rsid w:val="00670677"/>
    <w:rsid w:val="006706B1"/>
    <w:rsid w:val="00673071"/>
    <w:rsid w:val="00675799"/>
    <w:rsid w:val="00676D84"/>
    <w:rsid w:val="006810D1"/>
    <w:rsid w:val="006817EC"/>
    <w:rsid w:val="00684900"/>
    <w:rsid w:val="006916CC"/>
    <w:rsid w:val="00691C6E"/>
    <w:rsid w:val="00694B30"/>
    <w:rsid w:val="006A0EFC"/>
    <w:rsid w:val="006A2871"/>
    <w:rsid w:val="006A47CC"/>
    <w:rsid w:val="006B0878"/>
    <w:rsid w:val="006B2E88"/>
    <w:rsid w:val="006B6732"/>
    <w:rsid w:val="006C0A27"/>
    <w:rsid w:val="006C0EFF"/>
    <w:rsid w:val="006C22CC"/>
    <w:rsid w:val="006C3329"/>
    <w:rsid w:val="006C44F3"/>
    <w:rsid w:val="006C7E42"/>
    <w:rsid w:val="006D16D7"/>
    <w:rsid w:val="006D1EF2"/>
    <w:rsid w:val="006D3DAE"/>
    <w:rsid w:val="006D63D9"/>
    <w:rsid w:val="006E102C"/>
    <w:rsid w:val="006E1085"/>
    <w:rsid w:val="006E1767"/>
    <w:rsid w:val="006E378E"/>
    <w:rsid w:val="006F51AD"/>
    <w:rsid w:val="00702078"/>
    <w:rsid w:val="007058AD"/>
    <w:rsid w:val="00705CFE"/>
    <w:rsid w:val="0071043C"/>
    <w:rsid w:val="00714E9E"/>
    <w:rsid w:val="0071585A"/>
    <w:rsid w:val="00716152"/>
    <w:rsid w:val="00716511"/>
    <w:rsid w:val="007231A7"/>
    <w:rsid w:val="00724B1A"/>
    <w:rsid w:val="00724BF0"/>
    <w:rsid w:val="007275BC"/>
    <w:rsid w:val="00732488"/>
    <w:rsid w:val="007335B9"/>
    <w:rsid w:val="00740817"/>
    <w:rsid w:val="00740F1F"/>
    <w:rsid w:val="007433CB"/>
    <w:rsid w:val="00744694"/>
    <w:rsid w:val="0074525B"/>
    <w:rsid w:val="00745EC2"/>
    <w:rsid w:val="00752651"/>
    <w:rsid w:val="007547FC"/>
    <w:rsid w:val="00754E46"/>
    <w:rsid w:val="00755F77"/>
    <w:rsid w:val="007566C4"/>
    <w:rsid w:val="00766355"/>
    <w:rsid w:val="00774452"/>
    <w:rsid w:val="00776036"/>
    <w:rsid w:val="007769F7"/>
    <w:rsid w:val="00777382"/>
    <w:rsid w:val="00777BAD"/>
    <w:rsid w:val="007838F0"/>
    <w:rsid w:val="00791DA3"/>
    <w:rsid w:val="007928F0"/>
    <w:rsid w:val="007947A1"/>
    <w:rsid w:val="007957B9"/>
    <w:rsid w:val="007A066E"/>
    <w:rsid w:val="007A748D"/>
    <w:rsid w:val="007B0012"/>
    <w:rsid w:val="007B113E"/>
    <w:rsid w:val="007B1166"/>
    <w:rsid w:val="007B3055"/>
    <w:rsid w:val="007B64E9"/>
    <w:rsid w:val="007C6365"/>
    <w:rsid w:val="007C6451"/>
    <w:rsid w:val="007D02E1"/>
    <w:rsid w:val="007D036B"/>
    <w:rsid w:val="007D5000"/>
    <w:rsid w:val="007E19A1"/>
    <w:rsid w:val="007E1CE8"/>
    <w:rsid w:val="007E2E72"/>
    <w:rsid w:val="007E7504"/>
    <w:rsid w:val="007E7F8A"/>
    <w:rsid w:val="007F2105"/>
    <w:rsid w:val="007F3D0E"/>
    <w:rsid w:val="007F468D"/>
    <w:rsid w:val="007F4791"/>
    <w:rsid w:val="007F7120"/>
    <w:rsid w:val="008031BB"/>
    <w:rsid w:val="00806F01"/>
    <w:rsid w:val="00807FF5"/>
    <w:rsid w:val="00810B96"/>
    <w:rsid w:val="008129AE"/>
    <w:rsid w:val="00813DE4"/>
    <w:rsid w:val="00814A12"/>
    <w:rsid w:val="00816D3E"/>
    <w:rsid w:val="00821D56"/>
    <w:rsid w:val="0082317F"/>
    <w:rsid w:val="008239B3"/>
    <w:rsid w:val="00824852"/>
    <w:rsid w:val="00827912"/>
    <w:rsid w:val="00831B77"/>
    <w:rsid w:val="008328D9"/>
    <w:rsid w:val="0083423A"/>
    <w:rsid w:val="00835F61"/>
    <w:rsid w:val="00837B66"/>
    <w:rsid w:val="00837F6E"/>
    <w:rsid w:val="00842220"/>
    <w:rsid w:val="00847C60"/>
    <w:rsid w:val="00847D7A"/>
    <w:rsid w:val="0085083A"/>
    <w:rsid w:val="00851808"/>
    <w:rsid w:val="00852806"/>
    <w:rsid w:val="00856EC7"/>
    <w:rsid w:val="008579E3"/>
    <w:rsid w:val="00872AEC"/>
    <w:rsid w:val="0087659A"/>
    <w:rsid w:val="00877AFB"/>
    <w:rsid w:val="00880838"/>
    <w:rsid w:val="008827C0"/>
    <w:rsid w:val="00886392"/>
    <w:rsid w:val="00893719"/>
    <w:rsid w:val="00893BEA"/>
    <w:rsid w:val="00893FCC"/>
    <w:rsid w:val="00894C40"/>
    <w:rsid w:val="0089518F"/>
    <w:rsid w:val="00897DD2"/>
    <w:rsid w:val="008A0F69"/>
    <w:rsid w:val="008A4014"/>
    <w:rsid w:val="008A7E26"/>
    <w:rsid w:val="008B0505"/>
    <w:rsid w:val="008B1D72"/>
    <w:rsid w:val="008B3DC0"/>
    <w:rsid w:val="008B63EC"/>
    <w:rsid w:val="008B6C3D"/>
    <w:rsid w:val="008B7690"/>
    <w:rsid w:val="008C2417"/>
    <w:rsid w:val="008C451A"/>
    <w:rsid w:val="008C6233"/>
    <w:rsid w:val="008D08D4"/>
    <w:rsid w:val="008D1D80"/>
    <w:rsid w:val="008D50A9"/>
    <w:rsid w:val="008E424B"/>
    <w:rsid w:val="008E43BB"/>
    <w:rsid w:val="008E7AAC"/>
    <w:rsid w:val="008E7E5F"/>
    <w:rsid w:val="008F05A6"/>
    <w:rsid w:val="008F0875"/>
    <w:rsid w:val="008F2E0F"/>
    <w:rsid w:val="008F2EB8"/>
    <w:rsid w:val="008F2FB8"/>
    <w:rsid w:val="008F7A7A"/>
    <w:rsid w:val="00901474"/>
    <w:rsid w:val="00906855"/>
    <w:rsid w:val="00915D45"/>
    <w:rsid w:val="00916938"/>
    <w:rsid w:val="00921BCF"/>
    <w:rsid w:val="009228BF"/>
    <w:rsid w:val="00923D19"/>
    <w:rsid w:val="0092451D"/>
    <w:rsid w:val="00925339"/>
    <w:rsid w:val="0093472A"/>
    <w:rsid w:val="00935B35"/>
    <w:rsid w:val="0093625D"/>
    <w:rsid w:val="00936668"/>
    <w:rsid w:val="00940C9E"/>
    <w:rsid w:val="00943BDC"/>
    <w:rsid w:val="00944939"/>
    <w:rsid w:val="009467B2"/>
    <w:rsid w:val="00946DEE"/>
    <w:rsid w:val="00950604"/>
    <w:rsid w:val="00950B74"/>
    <w:rsid w:val="00954D13"/>
    <w:rsid w:val="009571B3"/>
    <w:rsid w:val="009575EE"/>
    <w:rsid w:val="00957B7E"/>
    <w:rsid w:val="00960F4B"/>
    <w:rsid w:val="00961618"/>
    <w:rsid w:val="00963CA8"/>
    <w:rsid w:val="009642AD"/>
    <w:rsid w:val="009648B0"/>
    <w:rsid w:val="00964A3E"/>
    <w:rsid w:val="00967BB3"/>
    <w:rsid w:val="009715D5"/>
    <w:rsid w:val="00973833"/>
    <w:rsid w:val="00973B5D"/>
    <w:rsid w:val="0097551D"/>
    <w:rsid w:val="00981AEF"/>
    <w:rsid w:val="0098330E"/>
    <w:rsid w:val="00984D25"/>
    <w:rsid w:val="00991648"/>
    <w:rsid w:val="00995C34"/>
    <w:rsid w:val="00996197"/>
    <w:rsid w:val="00997AD5"/>
    <w:rsid w:val="009A14F5"/>
    <w:rsid w:val="009B0135"/>
    <w:rsid w:val="009B14C0"/>
    <w:rsid w:val="009B2255"/>
    <w:rsid w:val="009B3075"/>
    <w:rsid w:val="009B58D8"/>
    <w:rsid w:val="009C4057"/>
    <w:rsid w:val="009C4AF9"/>
    <w:rsid w:val="009C5515"/>
    <w:rsid w:val="009C5E70"/>
    <w:rsid w:val="009C617B"/>
    <w:rsid w:val="009C6813"/>
    <w:rsid w:val="009C7EC8"/>
    <w:rsid w:val="009D014F"/>
    <w:rsid w:val="009D1A76"/>
    <w:rsid w:val="009D31F0"/>
    <w:rsid w:val="009E0D58"/>
    <w:rsid w:val="009E5292"/>
    <w:rsid w:val="009E6B66"/>
    <w:rsid w:val="009E6D6A"/>
    <w:rsid w:val="009E73D3"/>
    <w:rsid w:val="009E740B"/>
    <w:rsid w:val="009E7650"/>
    <w:rsid w:val="009F1908"/>
    <w:rsid w:val="009F4DED"/>
    <w:rsid w:val="009F6653"/>
    <w:rsid w:val="00A0302D"/>
    <w:rsid w:val="00A04C27"/>
    <w:rsid w:val="00A10C11"/>
    <w:rsid w:val="00A13776"/>
    <w:rsid w:val="00A1380D"/>
    <w:rsid w:val="00A13E2C"/>
    <w:rsid w:val="00A15AAD"/>
    <w:rsid w:val="00A15CDC"/>
    <w:rsid w:val="00A16F14"/>
    <w:rsid w:val="00A170BF"/>
    <w:rsid w:val="00A20DEF"/>
    <w:rsid w:val="00A211B1"/>
    <w:rsid w:val="00A22168"/>
    <w:rsid w:val="00A25701"/>
    <w:rsid w:val="00A31C44"/>
    <w:rsid w:val="00A31D18"/>
    <w:rsid w:val="00A31F7A"/>
    <w:rsid w:val="00A33FE0"/>
    <w:rsid w:val="00A34A94"/>
    <w:rsid w:val="00A35B30"/>
    <w:rsid w:val="00A3600C"/>
    <w:rsid w:val="00A36E44"/>
    <w:rsid w:val="00A43C64"/>
    <w:rsid w:val="00A46D1B"/>
    <w:rsid w:val="00A50276"/>
    <w:rsid w:val="00A53CC9"/>
    <w:rsid w:val="00A55C74"/>
    <w:rsid w:val="00A56099"/>
    <w:rsid w:val="00A569DC"/>
    <w:rsid w:val="00A612C0"/>
    <w:rsid w:val="00A62492"/>
    <w:rsid w:val="00A62D6D"/>
    <w:rsid w:val="00A63C2B"/>
    <w:rsid w:val="00A6454E"/>
    <w:rsid w:val="00A65F10"/>
    <w:rsid w:val="00A67EEE"/>
    <w:rsid w:val="00A72CD9"/>
    <w:rsid w:val="00A76B5D"/>
    <w:rsid w:val="00A8105F"/>
    <w:rsid w:val="00A85238"/>
    <w:rsid w:val="00A86665"/>
    <w:rsid w:val="00A866E0"/>
    <w:rsid w:val="00A94B0B"/>
    <w:rsid w:val="00A95537"/>
    <w:rsid w:val="00AA08CA"/>
    <w:rsid w:val="00AA0981"/>
    <w:rsid w:val="00AA46C6"/>
    <w:rsid w:val="00AA59AC"/>
    <w:rsid w:val="00AC0EC1"/>
    <w:rsid w:val="00AC5F6A"/>
    <w:rsid w:val="00AC6E55"/>
    <w:rsid w:val="00AD0A34"/>
    <w:rsid w:val="00AD5DAF"/>
    <w:rsid w:val="00AD6D49"/>
    <w:rsid w:val="00AE459A"/>
    <w:rsid w:val="00AE506C"/>
    <w:rsid w:val="00AE52F2"/>
    <w:rsid w:val="00AF3DBD"/>
    <w:rsid w:val="00AF42B1"/>
    <w:rsid w:val="00B015B7"/>
    <w:rsid w:val="00B04214"/>
    <w:rsid w:val="00B07103"/>
    <w:rsid w:val="00B07270"/>
    <w:rsid w:val="00B079FE"/>
    <w:rsid w:val="00B07D8F"/>
    <w:rsid w:val="00B1667C"/>
    <w:rsid w:val="00B16AB8"/>
    <w:rsid w:val="00B17B8F"/>
    <w:rsid w:val="00B20956"/>
    <w:rsid w:val="00B21323"/>
    <w:rsid w:val="00B239B0"/>
    <w:rsid w:val="00B24A3C"/>
    <w:rsid w:val="00B25C27"/>
    <w:rsid w:val="00B30D96"/>
    <w:rsid w:val="00B32753"/>
    <w:rsid w:val="00B32E61"/>
    <w:rsid w:val="00B3403E"/>
    <w:rsid w:val="00B34ECA"/>
    <w:rsid w:val="00B34EFF"/>
    <w:rsid w:val="00B35A25"/>
    <w:rsid w:val="00B36ADE"/>
    <w:rsid w:val="00B40537"/>
    <w:rsid w:val="00B40CDE"/>
    <w:rsid w:val="00B43996"/>
    <w:rsid w:val="00B50E76"/>
    <w:rsid w:val="00B51126"/>
    <w:rsid w:val="00B5255E"/>
    <w:rsid w:val="00B569A1"/>
    <w:rsid w:val="00B56BE3"/>
    <w:rsid w:val="00B625D5"/>
    <w:rsid w:val="00B62682"/>
    <w:rsid w:val="00B64B8C"/>
    <w:rsid w:val="00B67918"/>
    <w:rsid w:val="00B87253"/>
    <w:rsid w:val="00B909DE"/>
    <w:rsid w:val="00B92154"/>
    <w:rsid w:val="00B97CF2"/>
    <w:rsid w:val="00BA1109"/>
    <w:rsid w:val="00BA19F0"/>
    <w:rsid w:val="00BA6913"/>
    <w:rsid w:val="00BB1783"/>
    <w:rsid w:val="00BB401A"/>
    <w:rsid w:val="00BB4A70"/>
    <w:rsid w:val="00BB4F2B"/>
    <w:rsid w:val="00BB6A38"/>
    <w:rsid w:val="00BC7879"/>
    <w:rsid w:val="00BC7FBB"/>
    <w:rsid w:val="00BD00B4"/>
    <w:rsid w:val="00BD081B"/>
    <w:rsid w:val="00BD1C7E"/>
    <w:rsid w:val="00BD1D51"/>
    <w:rsid w:val="00BD42CA"/>
    <w:rsid w:val="00BE17D6"/>
    <w:rsid w:val="00BE4E71"/>
    <w:rsid w:val="00BF0C4A"/>
    <w:rsid w:val="00BF32DA"/>
    <w:rsid w:val="00BF5F71"/>
    <w:rsid w:val="00BF643F"/>
    <w:rsid w:val="00BF693C"/>
    <w:rsid w:val="00BF6FCE"/>
    <w:rsid w:val="00C032F6"/>
    <w:rsid w:val="00C035EE"/>
    <w:rsid w:val="00C070A4"/>
    <w:rsid w:val="00C07B2B"/>
    <w:rsid w:val="00C14A72"/>
    <w:rsid w:val="00C15403"/>
    <w:rsid w:val="00C1688E"/>
    <w:rsid w:val="00C17A95"/>
    <w:rsid w:val="00C21F77"/>
    <w:rsid w:val="00C2480E"/>
    <w:rsid w:val="00C25338"/>
    <w:rsid w:val="00C300F5"/>
    <w:rsid w:val="00C307D4"/>
    <w:rsid w:val="00C31CCA"/>
    <w:rsid w:val="00C33532"/>
    <w:rsid w:val="00C348A8"/>
    <w:rsid w:val="00C36DB0"/>
    <w:rsid w:val="00C4092A"/>
    <w:rsid w:val="00C43755"/>
    <w:rsid w:val="00C46D04"/>
    <w:rsid w:val="00C51150"/>
    <w:rsid w:val="00C51873"/>
    <w:rsid w:val="00C53047"/>
    <w:rsid w:val="00C54B61"/>
    <w:rsid w:val="00C6101F"/>
    <w:rsid w:val="00C66024"/>
    <w:rsid w:val="00C66158"/>
    <w:rsid w:val="00C727F0"/>
    <w:rsid w:val="00C740C9"/>
    <w:rsid w:val="00C759E8"/>
    <w:rsid w:val="00C76E95"/>
    <w:rsid w:val="00C826F6"/>
    <w:rsid w:val="00C912D6"/>
    <w:rsid w:val="00C93B08"/>
    <w:rsid w:val="00C93BC0"/>
    <w:rsid w:val="00C94932"/>
    <w:rsid w:val="00C962F6"/>
    <w:rsid w:val="00C969F5"/>
    <w:rsid w:val="00C97226"/>
    <w:rsid w:val="00CA1306"/>
    <w:rsid w:val="00CA54E8"/>
    <w:rsid w:val="00CA71EE"/>
    <w:rsid w:val="00CB0CBA"/>
    <w:rsid w:val="00CB1883"/>
    <w:rsid w:val="00CC5244"/>
    <w:rsid w:val="00CC7C09"/>
    <w:rsid w:val="00CD1007"/>
    <w:rsid w:val="00CD1CC2"/>
    <w:rsid w:val="00CD2A9F"/>
    <w:rsid w:val="00CD3C6D"/>
    <w:rsid w:val="00CD3FD7"/>
    <w:rsid w:val="00CD75CB"/>
    <w:rsid w:val="00CE116F"/>
    <w:rsid w:val="00CE50E8"/>
    <w:rsid w:val="00CE5ED8"/>
    <w:rsid w:val="00CE78DC"/>
    <w:rsid w:val="00CF4547"/>
    <w:rsid w:val="00CF5E1A"/>
    <w:rsid w:val="00CF60C8"/>
    <w:rsid w:val="00D02123"/>
    <w:rsid w:val="00D0499B"/>
    <w:rsid w:val="00D05A9F"/>
    <w:rsid w:val="00D05BF9"/>
    <w:rsid w:val="00D05F3F"/>
    <w:rsid w:val="00D062C0"/>
    <w:rsid w:val="00D07588"/>
    <w:rsid w:val="00D07656"/>
    <w:rsid w:val="00D14D8A"/>
    <w:rsid w:val="00D157EE"/>
    <w:rsid w:val="00D15A6B"/>
    <w:rsid w:val="00D15CD3"/>
    <w:rsid w:val="00D20AA1"/>
    <w:rsid w:val="00D22256"/>
    <w:rsid w:val="00D23EDA"/>
    <w:rsid w:val="00D243D1"/>
    <w:rsid w:val="00D267C6"/>
    <w:rsid w:val="00D27141"/>
    <w:rsid w:val="00D30C68"/>
    <w:rsid w:val="00D32662"/>
    <w:rsid w:val="00D40EE8"/>
    <w:rsid w:val="00D410E3"/>
    <w:rsid w:val="00D4165C"/>
    <w:rsid w:val="00D417FE"/>
    <w:rsid w:val="00D429CB"/>
    <w:rsid w:val="00D44789"/>
    <w:rsid w:val="00D503AD"/>
    <w:rsid w:val="00D5043A"/>
    <w:rsid w:val="00D50467"/>
    <w:rsid w:val="00D538E3"/>
    <w:rsid w:val="00D55529"/>
    <w:rsid w:val="00D6015A"/>
    <w:rsid w:val="00D62DCD"/>
    <w:rsid w:val="00D6321A"/>
    <w:rsid w:val="00D737BD"/>
    <w:rsid w:val="00D74A5F"/>
    <w:rsid w:val="00D754D0"/>
    <w:rsid w:val="00D76DF5"/>
    <w:rsid w:val="00D80D9C"/>
    <w:rsid w:val="00D85491"/>
    <w:rsid w:val="00D8568D"/>
    <w:rsid w:val="00D85ED3"/>
    <w:rsid w:val="00D91118"/>
    <w:rsid w:val="00D9159D"/>
    <w:rsid w:val="00D919AB"/>
    <w:rsid w:val="00D93EEC"/>
    <w:rsid w:val="00D93F07"/>
    <w:rsid w:val="00D95719"/>
    <w:rsid w:val="00D96270"/>
    <w:rsid w:val="00D96ABB"/>
    <w:rsid w:val="00DA25CD"/>
    <w:rsid w:val="00DA2E25"/>
    <w:rsid w:val="00DA3BA8"/>
    <w:rsid w:val="00DA69ED"/>
    <w:rsid w:val="00DB4805"/>
    <w:rsid w:val="00DB5C73"/>
    <w:rsid w:val="00DB5FCA"/>
    <w:rsid w:val="00DB74D7"/>
    <w:rsid w:val="00DC0771"/>
    <w:rsid w:val="00DC5519"/>
    <w:rsid w:val="00DD1520"/>
    <w:rsid w:val="00DD3C09"/>
    <w:rsid w:val="00DD5FF2"/>
    <w:rsid w:val="00DE43D2"/>
    <w:rsid w:val="00DF1208"/>
    <w:rsid w:val="00DF13D4"/>
    <w:rsid w:val="00DF3570"/>
    <w:rsid w:val="00DF43DE"/>
    <w:rsid w:val="00DF5EBC"/>
    <w:rsid w:val="00E01F01"/>
    <w:rsid w:val="00E0639F"/>
    <w:rsid w:val="00E12B8E"/>
    <w:rsid w:val="00E14A1F"/>
    <w:rsid w:val="00E14F61"/>
    <w:rsid w:val="00E15F1D"/>
    <w:rsid w:val="00E16144"/>
    <w:rsid w:val="00E20C9B"/>
    <w:rsid w:val="00E225AD"/>
    <w:rsid w:val="00E23FB3"/>
    <w:rsid w:val="00E23FDE"/>
    <w:rsid w:val="00E244EF"/>
    <w:rsid w:val="00E246E9"/>
    <w:rsid w:val="00E27001"/>
    <w:rsid w:val="00E31543"/>
    <w:rsid w:val="00E324A4"/>
    <w:rsid w:val="00E3374A"/>
    <w:rsid w:val="00E33C65"/>
    <w:rsid w:val="00E3497A"/>
    <w:rsid w:val="00E34D82"/>
    <w:rsid w:val="00E35F38"/>
    <w:rsid w:val="00E378DB"/>
    <w:rsid w:val="00E400E0"/>
    <w:rsid w:val="00E40467"/>
    <w:rsid w:val="00E42778"/>
    <w:rsid w:val="00E429BE"/>
    <w:rsid w:val="00E44F84"/>
    <w:rsid w:val="00E47D6A"/>
    <w:rsid w:val="00E61B2B"/>
    <w:rsid w:val="00E637B2"/>
    <w:rsid w:val="00E6766A"/>
    <w:rsid w:val="00E7053C"/>
    <w:rsid w:val="00E71253"/>
    <w:rsid w:val="00E724DF"/>
    <w:rsid w:val="00E72940"/>
    <w:rsid w:val="00E72C05"/>
    <w:rsid w:val="00E74C36"/>
    <w:rsid w:val="00E75700"/>
    <w:rsid w:val="00E80CA8"/>
    <w:rsid w:val="00E83254"/>
    <w:rsid w:val="00E856E4"/>
    <w:rsid w:val="00E8643C"/>
    <w:rsid w:val="00E868E8"/>
    <w:rsid w:val="00E87775"/>
    <w:rsid w:val="00E9011F"/>
    <w:rsid w:val="00E9157C"/>
    <w:rsid w:val="00E93003"/>
    <w:rsid w:val="00E939D5"/>
    <w:rsid w:val="00E94BD6"/>
    <w:rsid w:val="00EA1F73"/>
    <w:rsid w:val="00EA494D"/>
    <w:rsid w:val="00EB1E6D"/>
    <w:rsid w:val="00EB640B"/>
    <w:rsid w:val="00EB7814"/>
    <w:rsid w:val="00EC06F3"/>
    <w:rsid w:val="00EC2CD1"/>
    <w:rsid w:val="00ED02BF"/>
    <w:rsid w:val="00ED4042"/>
    <w:rsid w:val="00ED4274"/>
    <w:rsid w:val="00ED6893"/>
    <w:rsid w:val="00EE0C04"/>
    <w:rsid w:val="00EE3CA8"/>
    <w:rsid w:val="00EE3F68"/>
    <w:rsid w:val="00EF2D44"/>
    <w:rsid w:val="00EF3DFC"/>
    <w:rsid w:val="00F010BD"/>
    <w:rsid w:val="00F02C5B"/>
    <w:rsid w:val="00F0478B"/>
    <w:rsid w:val="00F05A97"/>
    <w:rsid w:val="00F1027D"/>
    <w:rsid w:val="00F11BFB"/>
    <w:rsid w:val="00F132A3"/>
    <w:rsid w:val="00F13998"/>
    <w:rsid w:val="00F167CE"/>
    <w:rsid w:val="00F20385"/>
    <w:rsid w:val="00F21014"/>
    <w:rsid w:val="00F22281"/>
    <w:rsid w:val="00F22D9B"/>
    <w:rsid w:val="00F2552F"/>
    <w:rsid w:val="00F26717"/>
    <w:rsid w:val="00F272A5"/>
    <w:rsid w:val="00F273A9"/>
    <w:rsid w:val="00F336BB"/>
    <w:rsid w:val="00F36DCF"/>
    <w:rsid w:val="00F51B2C"/>
    <w:rsid w:val="00F5335D"/>
    <w:rsid w:val="00F55EE9"/>
    <w:rsid w:val="00F57275"/>
    <w:rsid w:val="00F60EB0"/>
    <w:rsid w:val="00F6256E"/>
    <w:rsid w:val="00F652EC"/>
    <w:rsid w:val="00F729B0"/>
    <w:rsid w:val="00F80264"/>
    <w:rsid w:val="00F81B79"/>
    <w:rsid w:val="00F8308F"/>
    <w:rsid w:val="00F84878"/>
    <w:rsid w:val="00F90300"/>
    <w:rsid w:val="00F911BC"/>
    <w:rsid w:val="00F978D1"/>
    <w:rsid w:val="00F97F3A"/>
    <w:rsid w:val="00FA0ACD"/>
    <w:rsid w:val="00FA1A50"/>
    <w:rsid w:val="00FA27EB"/>
    <w:rsid w:val="00FA424E"/>
    <w:rsid w:val="00FA4E95"/>
    <w:rsid w:val="00FA5C78"/>
    <w:rsid w:val="00FA667A"/>
    <w:rsid w:val="00FB5229"/>
    <w:rsid w:val="00FB770F"/>
    <w:rsid w:val="00FC08C0"/>
    <w:rsid w:val="00FC4ED4"/>
    <w:rsid w:val="00FC5751"/>
    <w:rsid w:val="00FD5095"/>
    <w:rsid w:val="00FE03DE"/>
    <w:rsid w:val="00FE3B7A"/>
    <w:rsid w:val="00FE6C51"/>
    <w:rsid w:val="00FE7778"/>
    <w:rsid w:val="00FF049A"/>
    <w:rsid w:val="00FF0AAA"/>
    <w:rsid w:val="00FF0FD1"/>
    <w:rsid w:val="00FF3DC7"/>
    <w:rsid w:val="00FF4BF3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32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FD49-E140-4B32-A100-A774EA89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moavenat-fani</dc:creator>
  <cp:lastModifiedBy>Administrator</cp:lastModifiedBy>
  <cp:revision>6</cp:revision>
  <cp:lastPrinted>2017-03-12T06:42:00Z</cp:lastPrinted>
  <dcterms:created xsi:type="dcterms:W3CDTF">2017-03-11T12:39:00Z</dcterms:created>
  <dcterms:modified xsi:type="dcterms:W3CDTF">2017-03-12T06:48:00Z</dcterms:modified>
</cp:coreProperties>
</file>